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80" w:lineRule="exact"/>
        <w:jc w:val="center"/>
        <w:rPr>
          <w:rFonts w:eastAsia="黑体"/>
          <w:w w:val="95"/>
          <w:sz w:val="44"/>
          <w:szCs w:val="44"/>
          <w:highlight w:val="none"/>
        </w:rPr>
      </w:pPr>
      <w:bookmarkStart w:id="31" w:name="_GoBack"/>
      <w:bookmarkEnd w:id="31"/>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240" w:lineRule="auto"/>
        <w:jc w:val="center"/>
        <w:rPr>
          <w:rFonts w:hint="eastAsia" w:ascii="方正小标宋简体" w:hAnsi="方正小标宋简体" w:eastAsia="方正小标宋简体" w:cs="方正小标宋简体"/>
          <w:sz w:val="48"/>
          <w:szCs w:val="48"/>
          <w:highlight w:val="none"/>
          <w:lang w:val="en-US" w:eastAsia="zh-CN"/>
        </w:rPr>
      </w:pPr>
      <w:r>
        <w:rPr>
          <w:rFonts w:hint="eastAsia" w:ascii="方正小标宋简体" w:hAnsi="方正小标宋简体" w:eastAsia="方正小标宋简体" w:cs="方正小标宋简体"/>
          <w:sz w:val="48"/>
          <w:szCs w:val="48"/>
          <w:highlight w:val="none"/>
          <w:lang w:val="en-US" w:eastAsia="zh-CN"/>
        </w:rPr>
        <w:t>天津市文学艺术界联合会</w:t>
      </w:r>
    </w:p>
    <w:p>
      <w:pPr>
        <w:spacing w:line="240" w:lineRule="auto"/>
        <w:jc w:val="center"/>
        <w:rPr>
          <w:rFonts w:hint="eastAsia" w:ascii="方正小标宋简体" w:hAnsi="方正小标宋简体" w:eastAsia="方正小标宋简体" w:cs="方正小标宋简体"/>
          <w:w w:val="95"/>
          <w:sz w:val="48"/>
          <w:szCs w:val="48"/>
          <w:highlight w:val="none"/>
        </w:rPr>
      </w:pPr>
      <w:r>
        <w:rPr>
          <w:rFonts w:hint="eastAsia" w:ascii="方正小标宋简体" w:hAnsi="方正小标宋简体" w:eastAsia="方正小标宋简体" w:cs="方正小标宋简体"/>
          <w:sz w:val="48"/>
          <w:szCs w:val="48"/>
          <w:highlight w:val="none"/>
          <w:lang w:eastAsia="zh-CN"/>
        </w:rPr>
        <w:t>202</w:t>
      </w:r>
      <w:r>
        <w:rPr>
          <w:rFonts w:hint="eastAsia" w:ascii="方正小标宋简体" w:hAnsi="方正小标宋简体" w:eastAsia="方正小标宋简体" w:cs="方正小标宋简体"/>
          <w:sz w:val="48"/>
          <w:szCs w:val="48"/>
          <w:highlight w:val="none"/>
          <w:lang w:val="en-US" w:eastAsia="zh-CN"/>
        </w:rPr>
        <w:t>5</w:t>
      </w:r>
      <w:r>
        <w:rPr>
          <w:rFonts w:hint="eastAsia" w:ascii="方正小标宋简体" w:hAnsi="方正小标宋简体" w:eastAsia="方正小标宋简体" w:cs="方正小标宋简体"/>
          <w:sz w:val="48"/>
          <w:szCs w:val="48"/>
          <w:highlight w:val="none"/>
        </w:rPr>
        <w:t>年度部门决算</w:t>
      </w: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600" w:lineRule="exact"/>
        <w:jc w:val="center"/>
        <w:rPr>
          <w:rFonts w:hint="eastAsia" w:ascii="黑体" w:eastAsia="黑体"/>
          <w:sz w:val="44"/>
          <w:szCs w:val="4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pPr>
        <w:spacing w:line="600" w:lineRule="exact"/>
        <w:jc w:val="center"/>
        <w:rPr>
          <w:rFonts w:hint="eastAsia" w:ascii="黑体" w:eastAsia="黑体"/>
          <w:sz w:val="44"/>
          <w:szCs w:val="44"/>
          <w:highlight w:val="none"/>
        </w:rPr>
      </w:pPr>
    </w:p>
    <w:p>
      <w:pPr>
        <w:spacing w:line="600" w:lineRule="exact"/>
        <w:jc w:val="center"/>
        <w:rPr>
          <w:rFonts w:hint="eastAsia" w:ascii="黑体" w:eastAsia="黑体"/>
          <w:sz w:val="44"/>
          <w:szCs w:val="44"/>
          <w:highlight w:val="none"/>
        </w:rPr>
      </w:pPr>
      <w:r>
        <w:rPr>
          <w:rFonts w:hint="eastAsia" w:ascii="黑体" w:eastAsia="黑体"/>
          <w:sz w:val="44"/>
          <w:szCs w:val="44"/>
          <w:highlight w:val="none"/>
        </w:rPr>
        <w:t>目   录</w:t>
      </w:r>
    </w:p>
    <w:p>
      <w:pPr>
        <w:spacing w:line="600" w:lineRule="exact"/>
        <w:rPr>
          <w:rFonts w:hint="eastAsia" w:ascii="黑体" w:eastAsia="黑体"/>
          <w:sz w:val="30"/>
          <w:szCs w:val="30"/>
          <w:highlight w:val="none"/>
        </w:rPr>
      </w:pPr>
    </w:p>
    <w:p>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TOC \o "1-3" \h \z \u</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第一部分  概 况</w:t>
      </w:r>
      <w:r>
        <w:rPr>
          <w:rFonts w:hint="eastAsia" w:ascii="仿宋" w:hAnsi="仿宋" w:eastAsia="仿宋" w:cs="仿宋"/>
          <w:sz w:val="30"/>
          <w:szCs w:val="30"/>
          <w:highlight w:val="none"/>
          <w:lang w:val="en-US" w:eastAsia="zh-CN"/>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_Toc31751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240" w:leftChars="100" w:firstLine="0" w:firstLineChars="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一、主要职责</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_Toc957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二、机构设置</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_Toc9641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第二部分  2025年度部门决算表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_Toc22959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_Toc24940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二、《收入决算表（按功能分类列示）》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_Toc19253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三、《收入决算表（按单位列示）》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_Toc1420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四、《支出决算表》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_Toc16222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五、《财政拨款收入支出决算总表》</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_Toc10133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12</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六、《一般公共预算财政拨款支出决算表》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七、《一般公共预算财政拨款基本支出决算表》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_Toc8838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八、《政府性基金预算财政拨款收入支出决算表》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_Toc2699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九、《国有资本经营预算财政拨款收入支出决算表》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_Toc11009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十、《财政拨款“三公”经费支出决算表》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_Toc25214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十一、《项目支出决算表》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_Toc18972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第三部分  2025年度部门决算情况说明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_Toc7922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_Toc7052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_Toc6621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_Toc21049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四、财政拨款收支决算总体情况说明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_Toc8231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25</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五、一般公共预算财政拨款支出决算情况说明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25</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六、一般公共预算财政拨款基本支出决算情况说明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_Toc17234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28</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七、政府性基金预算财政拨款收支决算情况说明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_Toc11228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28</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八、国有资本经营预算财政拨款收支决算情况说明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九、财政拨款“三公”经费支出决算情况说明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_Toc22288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十、机关运行经费支出情况说明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_Toc30303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十一、政府采购支出情况说明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_Toc3597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十二、国有资产占有使用情况说明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_Toc32039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十三、预算绩效情况说明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十四、教育、医疗卫生、社会保障和就业、住房保障、涉农补贴等民生支出情况说明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_Toc10864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32</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第四部分  名词解释</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_Toc19733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rPr>
          <w:rFonts w:ascii="Times New Roman" w:hAnsi="Times New Roman" w:eastAsia="方正仿宋_GB2312"/>
          <w:sz w:val="32"/>
          <w:szCs w:val="32"/>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方正小标宋简体" w:hAnsi="方正小标宋简体" w:eastAsia="方正小标宋简体" w:cs="方正小标宋简体"/>
          <w:sz w:val="30"/>
          <w:szCs w:val="30"/>
          <w:highlight w:val="none"/>
          <w:lang w:val="en-US" w:eastAsia="zh-CN"/>
        </w:rPr>
        <w:fldChar w:fldCharType="end"/>
      </w:r>
    </w:p>
    <w:p>
      <w:pPr>
        <w:rPr>
          <w:rFonts w:hint="eastAsia"/>
          <w:highlight w:val="none"/>
        </w:rPr>
      </w:pPr>
    </w:p>
    <w:p>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p>
    <w:p>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0" w:name="_Toc31751"/>
      <w:r>
        <w:rPr>
          <w:rFonts w:hint="eastAsia" w:ascii="方正小标宋简体" w:hAnsi="方正小标宋简体" w:eastAsia="方正小标宋简体" w:cs="方正小标宋简体"/>
          <w:b w:val="0"/>
          <w:lang w:val="en-US" w:eastAsia="zh-CN"/>
        </w:rPr>
        <w:t>第一部分  概 况</w:t>
      </w:r>
      <w:bookmarkEnd w:id="0"/>
    </w:p>
    <w:p>
      <w:pPr>
        <w:spacing w:line="600" w:lineRule="exact"/>
        <w:rPr>
          <w:rFonts w:hint="eastAsia"/>
          <w:highlight w:val="none"/>
        </w:rPr>
      </w:pPr>
    </w:p>
    <w:p>
      <w:pPr>
        <w:pStyle w:val="6"/>
        <w:wordWrap w:val="0"/>
        <w:spacing w:before="0" w:after="0" w:line="800" w:lineRule="exact"/>
        <w:ind w:firstLine="602" w:firstLineChars="200"/>
        <w:rPr>
          <w:rFonts w:hint="eastAsia" w:ascii="黑体" w:hAnsi="黑体" w:eastAsia="黑体"/>
          <w:b w:val="0"/>
          <w:bCs w:val="0"/>
          <w:sz w:val="30"/>
          <w:szCs w:val="30"/>
          <w:highlight w:val="none"/>
        </w:rPr>
      </w:pPr>
      <w:bookmarkStart w:id="1" w:name="_Toc957"/>
      <w:r>
        <w:rPr>
          <w:rFonts w:hint="eastAsia" w:ascii="黑体" w:hAnsi="黑体" w:eastAsia="黑体"/>
          <w:sz w:val="30"/>
          <w:szCs w:val="30"/>
          <w:lang w:val="en-US" w:eastAsia="zh-CN"/>
        </w:rPr>
        <w:t>一、主要职责</w:t>
      </w:r>
      <w:bookmarkEnd w:id="1"/>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天津市文学艺术界联合会的主要职责是：党和政府联系全市文艺工作者的桥梁和纽带，履行团结引导、联络协调、管理服务、自律维权的职能。宗旨是:高举中国特色社会主义伟大旗帜, 以马克思列宁主义、毛泽东思想、邓小平理论、“三个代表”重要思想、科学发展观、习近平新时代中国特色社会主义思想为指导，坚持社会主义先进文化前进方向，自觉承担起举旗帜、聚民心、育新人、兴文化、展形象的使命任务，带头践行社会主义核心价值观。坚持文艺为人民服务、为社会主义服务的方向和百花齐放、百家争鸣的方针，坚定不移走中国特色社会主义文艺发展道路和群团发展道路，遵守宪法和法律，团结动员全市文艺工作者积极投身改革开放和社会主义现代化建设，增强“四个意识”、坚定“四个自信”、做到“两个维护”。继承弘扬中华优秀传统文化，不断激发文化创新创造活力，致力于繁荣天津文艺事业，为把天津建设成文化强市、为实现中华民族伟大复兴的中国梦而努力奋斗群团发展道路，遵守宪法和法律，团结动员全市文艺工作者积极投身改革开放和社会主义现代化建设，增强“四个意识”、坚定“四个自信”、做到“两个维护”。继承弘扬中华优秀传统文化，不断激发文化创新创造活力，致力于繁荣天津文艺事业，为把天津建设成文化强市、为实现中华民族伟大复兴的中国梦而努力奋斗。</w:t>
      </w:r>
    </w:p>
    <w:p>
      <w:pPr>
        <w:pStyle w:val="6"/>
        <w:spacing w:before="0" w:after="0" w:line="600" w:lineRule="exact"/>
        <w:ind w:firstLine="602" w:firstLineChars="200"/>
        <w:rPr>
          <w:rFonts w:hint="eastAsia" w:ascii="黑体" w:hAnsi="黑体" w:eastAsia="黑体"/>
          <w:b w:val="0"/>
          <w:bCs w:val="0"/>
          <w:sz w:val="30"/>
          <w:szCs w:val="30"/>
          <w:highlight w:val="none"/>
        </w:rPr>
      </w:pPr>
      <w:bookmarkStart w:id="2" w:name="_Toc9641"/>
      <w:r>
        <w:rPr>
          <w:rFonts w:hint="eastAsia" w:ascii="黑体" w:hAnsi="黑体" w:eastAsia="黑体"/>
          <w:sz w:val="30"/>
          <w:szCs w:val="30"/>
          <w:lang w:val="en-US" w:eastAsia="zh-CN"/>
        </w:rPr>
        <w:t>二、机构设置</w:t>
      </w:r>
      <w:bookmarkEnd w:id="2"/>
    </w:p>
    <w:p>
      <w:pPr>
        <w:spacing w:line="600" w:lineRule="exact"/>
        <w:ind w:firstLine="600"/>
        <w:rPr>
          <w:rFonts w:hint="eastAsia" w:eastAsia="方正仿宋_GB2312"/>
          <w:sz w:val="30"/>
          <w:szCs w:val="30"/>
          <w:highlight w:val="none"/>
          <w:lang w:val="en-US" w:eastAsia="zh-CN"/>
        </w:rPr>
      </w:pPr>
      <w:r>
        <w:rPr>
          <w:rFonts w:hint="eastAsia" w:eastAsia="仿宋_GB2312"/>
          <w:sz w:val="30"/>
          <w:szCs w:val="30"/>
          <w:highlight w:val="none"/>
          <w:lang w:val="en-US" w:eastAsia="zh-CN"/>
        </w:rPr>
        <w:t>纳入天津市文学艺术界联合会2025年度部门决算编制范围的单位包括，部门本级（内设6个职能处室）。</w:t>
      </w:r>
    </w:p>
    <w:p>
      <w:pPr>
        <w:spacing w:line="600" w:lineRule="exact"/>
        <w:rPr>
          <w:rFonts w:hint="eastAsia" w:eastAsia="方正楷体_GB2312"/>
          <w:b/>
          <w:sz w:val="30"/>
          <w:szCs w:val="30"/>
          <w:highlight w:val="none"/>
        </w:rPr>
      </w:pPr>
      <w:r>
        <w:rPr>
          <w:rFonts w:eastAsia="方正楷体_GB2312"/>
          <w:b/>
          <w:sz w:val="30"/>
          <w:szCs w:val="30"/>
          <w:highlight w:val="none"/>
        </w:rPr>
        <w:br w:type="page"/>
      </w: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bookmarkStart w:id="3" w:name="_Toc22959"/>
      <w:r>
        <w:rPr>
          <w:rFonts w:hint="eastAsia" w:ascii="方正小标宋简体" w:hAnsi="方正小标宋简体" w:eastAsia="方正小标宋简体" w:cs="方正小标宋简体"/>
          <w:b w:val="0"/>
          <w:bCs w:val="0"/>
          <w:lang w:val="en-US" w:eastAsia="zh-CN"/>
        </w:rPr>
        <w:t>第二部分  2025年度部门决算表</w:t>
      </w:r>
      <w:bookmarkEnd w:id="3"/>
    </w:p>
    <w:p>
      <w:pPr>
        <w:pStyle w:val="5"/>
        <w:wordWrap w:val="0"/>
        <w:spacing w:before="0" w:after="0" w:line="600" w:lineRule="exact"/>
        <w:jc w:val="left"/>
        <w:rPr>
          <w:rFonts w:hint="eastAsia" w:ascii="黑体" w:hAnsi="黑体" w:eastAsia="黑体"/>
          <w:sz w:val="30"/>
          <w:szCs w:val="30"/>
          <w:lang w:val="en-US" w:eastAsia="zh-CN"/>
        </w:rPr>
      </w:pPr>
      <w:r>
        <w:rPr>
          <w:rFonts w:hint="eastAsia" w:ascii="方正小标宋简体" w:hAnsi="方正小标宋简体" w:eastAsia="方正小标宋简体" w:cs="方正小标宋简体"/>
          <w:b w:val="0"/>
          <w:bCs w:val="0"/>
          <w:lang w:val="en-US" w:eastAsia="zh-CN"/>
        </w:rPr>
        <w:br w:type="page"/>
      </w:r>
      <w:bookmarkStart w:id="4" w:name="_Toc24940"/>
      <w:r>
        <w:rPr>
          <w:rFonts w:hint="eastAsia" w:ascii="黑体" w:hAnsi="黑体" w:eastAsia="黑体"/>
          <w:sz w:val="30"/>
          <w:szCs w:val="30"/>
          <w:lang w:val="en-US" w:eastAsia="zh-CN"/>
        </w:rPr>
        <w:t>一、《收入支出决算总表》</w:t>
      </w:r>
      <w:bookmarkEnd w:id="4"/>
    </w:p>
    <w:tbl>
      <w:tblPr>
        <w:tblStyle w:val="8"/>
        <w:tblW w:w="97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51"/>
        <w:gridCol w:w="1632"/>
        <w:gridCol w:w="3180"/>
        <w:gridCol w:w="16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nil"/>
              <w:left w:val="nil"/>
              <w:bottom w:val="single" w:color="000000" w:sz="4" w:space="0"/>
              <w:right w:val="nil"/>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：天津市文学艺术界联合会</w:t>
            </w:r>
          </w:p>
        </w:tc>
        <w:tc>
          <w:tcPr>
            <w:tcW w:w="1701" w:type="dxa"/>
            <w:gridSpan w:val="2"/>
            <w:tcBorders>
              <w:top w:val="nil"/>
              <w:left w:val="nil"/>
              <w:bottom w:val="single" w:color="000000" w:sz="4" w:space="0"/>
              <w:right w:val="nil"/>
            </w:tcBorders>
            <w:shd w:val="clear" w:color="000000" w:fill="FFFFFF"/>
            <w:noWrap/>
            <w:vAlign w:val="center"/>
          </w:tcPr>
          <w:p>
            <w:pPr>
              <w:spacing w:line="240" w:lineRule="auto"/>
              <w:ind w:left="0" w:leftChars="0" w:right="0" w:rightChars="0" w:firstLine="0" w:firstLineChars="0"/>
              <w:jc w:val="righ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single" w:color="000000" w:sz="4" w:space="0"/>
              <w:left w:val="single" w:color="000000" w:sz="4" w:space="0"/>
              <w:bottom w:val="single" w:color="000000" w:sz="4" w:space="0"/>
              <w:right w:val="nil"/>
            </w:tcBorders>
            <w:shd w:val="clear" w:color="000000" w:fill="FFFFFF"/>
            <w:noWrap/>
            <w:vAlign w:val="center"/>
          </w:tcPr>
          <w:p>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701" w:type="dxa"/>
            <w:gridSpan w:val="2"/>
            <w:tcBorders>
              <w:top w:val="single" w:color="000000" w:sz="4" w:space="0"/>
              <w:left w:val="nil"/>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一、一般公共预算财政拨款收入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tabs>
                <w:tab w:val="left" w:pos="1920"/>
              </w:tabs>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31497647.55</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15485369.62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二、政府性基金预算财政拨款收入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三、国有资本经营预算财政拨款收入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四、财政专户管理资金</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五、事业收入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12893164.26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六、事业单位经营收入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2785676.68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七、上级补助收入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1366549.48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八、附属单位上缴收入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九、其他收入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851023.38</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32649.60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iCs w:val="0"/>
                <w:color w:val="000000"/>
                <w:kern w:val="0"/>
                <w:sz w:val="20"/>
                <w:szCs w:val="20"/>
                <w:u w:val="no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49347.60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本年收入合计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32348670.93</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32612757.24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90"/>
                <w:kern w:val="0"/>
                <w:sz w:val="20"/>
                <w:szCs w:val="20"/>
                <w:u w:val="none"/>
                <w:lang w:val="en-US" w:eastAsia="zh-CN"/>
              </w:rPr>
              <w:t>十、使用非财政拨款结余</w:t>
            </w:r>
            <w:r>
              <w:rPr>
                <w:rFonts w:hint="eastAsia" w:ascii="宋体" w:hAnsi="宋体" w:cs="宋体"/>
                <w:i w:val="0"/>
                <w:iCs w:val="0"/>
                <w:color w:val="000000"/>
                <w:w w:val="90"/>
                <w:kern w:val="0"/>
                <w:sz w:val="20"/>
                <w:szCs w:val="20"/>
                <w:u w:val="none"/>
                <w:lang w:val="en-US" w:eastAsia="zh-CN"/>
              </w:rPr>
              <w:t>（含专用结余）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二十四、结余分配</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十一、年初结转和结余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1192846.32</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二十五、年末结转和结余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928760.01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其中：财政拨款结转和结余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600" w:firstLineChars="3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1192846.32</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33541517.25</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33541517.25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701" w:type="dxa"/>
            <w:gridSpan w:val="4"/>
            <w:tcBorders>
              <w:top w:val="nil"/>
              <w:left w:val="nil"/>
              <w:bottom w:val="nil"/>
              <w:right w:val="nil"/>
            </w:tcBorders>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注：本表反映本年度的总收支和年末结转结余情况。财政专户管理资金是指教育收费；事业收入不含教育收费。</w:t>
            </w:r>
          </w:p>
        </w:tc>
      </w:tr>
    </w:tbl>
    <w:p>
      <w:pPr>
        <w:ind w:left="-480" w:leftChars="-200" w:firstLine="0" w:firstLineChars="0"/>
        <w:rPr>
          <w:rFonts w:hint="eastAsia"/>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pPr>
        <w:pStyle w:val="6"/>
        <w:wordWrap w:val="0"/>
        <w:spacing w:before="0" w:after="0" w:line="800" w:lineRule="exact"/>
        <w:ind w:firstLine="602" w:firstLineChars="200"/>
        <w:rPr>
          <w:rFonts w:hint="eastAsia" w:ascii="黑体" w:hAnsi="黑体" w:eastAsia="黑体"/>
          <w:sz w:val="30"/>
          <w:szCs w:val="30"/>
          <w:lang w:val="en-US" w:eastAsia="zh-CN"/>
        </w:rPr>
      </w:pPr>
      <w:bookmarkStart w:id="5" w:name="_Toc19253"/>
      <w:r>
        <w:rPr>
          <w:rFonts w:hint="eastAsia" w:ascii="黑体" w:hAnsi="黑体" w:eastAsia="黑体"/>
          <w:sz w:val="30"/>
          <w:szCs w:val="30"/>
          <w:lang w:val="en-US" w:eastAsia="zh-CN"/>
        </w:rPr>
        <w:t>二、《收入决算表（按功能分类列示）》</w:t>
      </w:r>
      <w:bookmarkEnd w:id="5"/>
    </w:p>
    <w:tbl>
      <w:tblPr>
        <w:tblStyle w:val="8"/>
        <w:tblW w:w="162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3"/>
        <w:gridCol w:w="2184"/>
        <w:gridCol w:w="1824"/>
        <w:gridCol w:w="1737"/>
        <w:gridCol w:w="1503"/>
        <w:gridCol w:w="1680"/>
        <w:gridCol w:w="1656"/>
        <w:gridCol w:w="1572"/>
        <w:gridCol w:w="1524"/>
        <w:gridCol w:w="1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951" w:type="dxa"/>
            <w:gridSpan w:val="6"/>
            <w:tcBorders>
              <w:top w:val="nil"/>
              <w:left w:val="nil"/>
              <w:bottom w:val="single" w:color="auto" w:sz="4" w:space="0"/>
              <w:right w:val="nil"/>
            </w:tcBorders>
            <w:shd w:val="clear" w:color="auto" w:fill="FFFFFF"/>
            <w:noWrap/>
            <w:vAlign w:val="center"/>
          </w:tcPr>
          <w:p>
            <w:pPr>
              <w:snapToGrid w:val="0"/>
              <w:jc w:val="left"/>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天津市文学艺术界联合会</w:t>
            </w:r>
          </w:p>
        </w:tc>
        <w:tc>
          <w:tcPr>
            <w:tcW w:w="1656" w:type="dxa"/>
            <w:tcBorders>
              <w:top w:val="nil"/>
              <w:left w:val="nil"/>
              <w:bottom w:val="single" w:color="auto" w:sz="4" w:space="0"/>
              <w:right w:val="nil"/>
            </w:tcBorders>
            <w:shd w:val="clear" w:color="auto" w:fill="FFFFFF"/>
            <w:noWrap/>
            <w:vAlign w:val="center"/>
          </w:tcPr>
          <w:p>
            <w:pPr>
              <w:snapToGrid w:val="0"/>
              <w:jc w:val="right"/>
              <w:rPr>
                <w:rFonts w:hint="eastAsia" w:ascii="宋体" w:hAnsi="宋体" w:eastAsia="宋体" w:cs="宋体"/>
                <w:i w:val="0"/>
                <w:iCs w:val="0"/>
                <w:color w:val="000000"/>
                <w:sz w:val="24"/>
                <w:szCs w:val="24"/>
                <w:u w:val="none"/>
              </w:rPr>
            </w:pPr>
          </w:p>
        </w:tc>
        <w:tc>
          <w:tcPr>
            <w:tcW w:w="1572" w:type="dxa"/>
            <w:tcBorders>
              <w:top w:val="nil"/>
              <w:left w:val="nil"/>
              <w:bottom w:val="single" w:color="auto" w:sz="4" w:space="0"/>
              <w:right w:val="nil"/>
            </w:tcBorders>
            <w:shd w:val="clear" w:color="auto" w:fill="FFFFFF"/>
            <w:noWrap/>
            <w:vAlign w:val="center"/>
          </w:tcPr>
          <w:p>
            <w:pPr>
              <w:snapToGrid w:val="0"/>
              <w:jc w:val="right"/>
              <w:rPr>
                <w:rFonts w:hint="eastAsia" w:ascii="宋体" w:hAnsi="宋体" w:eastAsia="宋体" w:cs="宋体"/>
                <w:i w:val="0"/>
                <w:iCs w:val="0"/>
                <w:color w:val="000000"/>
                <w:sz w:val="24"/>
                <w:szCs w:val="24"/>
                <w:u w:val="none"/>
              </w:rPr>
            </w:pPr>
          </w:p>
        </w:tc>
        <w:tc>
          <w:tcPr>
            <w:tcW w:w="3111" w:type="dxa"/>
            <w:gridSpan w:val="2"/>
            <w:tcBorders>
              <w:top w:val="nil"/>
              <w:left w:val="nil"/>
              <w:bottom w:val="single" w:color="auto" w:sz="4" w:space="0"/>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auto" w:sz="4" w:space="0"/>
              <w:left w:val="single" w:color="auto"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18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本年收入合计</w:t>
            </w:r>
          </w:p>
        </w:tc>
        <w:tc>
          <w:tcPr>
            <w:tcW w:w="1737"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财政拨款收入</w:t>
            </w:r>
          </w:p>
        </w:tc>
        <w:tc>
          <w:tcPr>
            <w:tcW w:w="150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上级补助收入</w:t>
            </w:r>
          </w:p>
        </w:tc>
        <w:tc>
          <w:tcPr>
            <w:tcW w:w="3336"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事业收入</w:t>
            </w:r>
          </w:p>
        </w:tc>
        <w:tc>
          <w:tcPr>
            <w:tcW w:w="157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经营收入</w:t>
            </w:r>
          </w:p>
        </w:tc>
        <w:tc>
          <w:tcPr>
            <w:tcW w:w="15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附属单位上缴收入</w:t>
            </w:r>
          </w:p>
        </w:tc>
        <w:tc>
          <w:tcPr>
            <w:tcW w:w="1587" w:type="dxa"/>
            <w:vMerge w:val="restart"/>
            <w:tcBorders>
              <w:top w:val="single" w:color="auto" w:sz="4" w:space="0"/>
              <w:left w:val="single" w:color="000000" w:sz="4" w:space="0"/>
              <w:bottom w:val="single" w:color="000000" w:sz="4" w:space="0"/>
              <w:right w:val="single" w:color="auto"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restar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其中：教育收费</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continue"/>
            <w:tcBorders>
              <w:top w:val="single" w:color="000000" w:sz="4" w:space="0"/>
              <w:left w:val="single" w:color="auto"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000000" w:sz="4" w:space="0"/>
              <w:left w:val="single" w:color="auto"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32348670.93</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31497647.55</w:t>
            </w:r>
          </w:p>
        </w:tc>
        <w:tc>
          <w:tcPr>
            <w:tcW w:w="1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851023.38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一般公共服务支出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15410537.31</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15212716.37</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197820.94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20129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群众团体事务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15410537.31</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15212716.37</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197820.94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2012901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行政运行</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15410537.31</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15212716.37</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197820.94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207</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文化旅游体育与传媒支出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12751629.68</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12100055.42</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651574.26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20701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文化和旅游</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11810055.42</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11810055.42</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2070111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文化创作与保护</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11810055.42</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11810055.42</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20799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其他文化旅游体育与传媒支出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941574.26</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290000.00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651574.26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2079999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其他文化旅游体育与传媒支出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941574.26</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290000.00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651574.26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社会保障和就业支出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2785676.68</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2785676.68</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20805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行政事业单位养老支出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2597860.68</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2597860.68</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2080505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机关事业单位基本养老保险缴费支出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1730506.32</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1730506.32</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2080506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机关事业单位职业年金缴费支出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867354.36</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867354.36</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20808</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抚恤</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172816.00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172816.00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2080801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死亡抚恤</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172816.00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172816.00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其他社会保障和就业支出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2089999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其他社会保障和就业支出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卫生健康支出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1366549.48</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1366549.48</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21011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行政事业单位医疗</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1366549.48</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1366549.48</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2101101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行政单位医疗</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591673.70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591673.70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2101102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事业单位医疗</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445781.30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445781.30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2101103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公务员医疗补助</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115360.08</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115360.08</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2101199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其他行政事业单位医疗支出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213734.40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213734.40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资源勘探工业信息等支出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32649.60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32649.60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其他资源勘探工业信息等支出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32649.60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32649.60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1628.18</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1628.18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22999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1628.18</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1628.18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2299999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1628.18</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1628.18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90" w:type="dxa"/>
            <w:gridSpan w:val="10"/>
            <w:tcBorders>
              <w:top w:val="single" w:color="auto" w:sz="4" w:space="0"/>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注：本表反映本年度取得的各项收入情况。</w:t>
            </w:r>
          </w:p>
        </w:tc>
      </w:tr>
    </w:tbl>
    <w:p>
      <w:pPr>
        <w:pStyle w:val="6"/>
        <w:wordWrap w:val="0"/>
        <w:spacing w:before="0" w:after="0" w:line="800" w:lineRule="exact"/>
        <w:ind w:firstLine="421"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6" w:name="_Toc1420"/>
      <w:r>
        <w:rPr>
          <w:rFonts w:hint="eastAsia" w:ascii="黑体" w:hAnsi="黑体" w:eastAsia="黑体"/>
          <w:b/>
          <w:bCs/>
          <w:sz w:val="30"/>
          <w:szCs w:val="30"/>
          <w:lang w:val="en-US" w:eastAsia="zh-CN"/>
        </w:rPr>
        <w:t>三、《收入决算表（按单位列示）》</w:t>
      </w:r>
      <w:bookmarkEnd w:id="6"/>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3"/>
        <w:gridCol w:w="1405"/>
        <w:gridCol w:w="1344"/>
        <w:gridCol w:w="1153"/>
        <w:gridCol w:w="1285"/>
        <w:gridCol w:w="1285"/>
        <w:gridCol w:w="1285"/>
        <w:gridCol w:w="1285"/>
        <w:gridCol w:w="1285"/>
        <w:gridCol w:w="1285"/>
        <w:gridCol w:w="1285"/>
        <w:gridCol w:w="1329"/>
        <w:gridCol w:w="13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775" w:type="dxa"/>
            <w:gridSpan w:val="8"/>
            <w:tcBorders>
              <w:top w:val="nil"/>
              <w:left w:val="nil"/>
              <w:bottom w:val="single" w:color="000000" w:sz="4" w:space="0"/>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：天津市文学艺术界联合会</w:t>
            </w:r>
          </w:p>
        </w:tc>
        <w:tc>
          <w:tcPr>
            <w:tcW w:w="1285" w:type="dxa"/>
            <w:tcBorders>
              <w:top w:val="nil"/>
              <w:left w:val="nil"/>
              <w:bottom w:val="single" w:color="000000" w:sz="4" w:space="0"/>
              <w:right w:val="nil"/>
            </w:tcBorders>
            <w:noWrap/>
            <w:vAlign w:val="center"/>
          </w:tcPr>
          <w:p>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pPr>
              <w:jc w:val="center"/>
              <w:rPr>
                <w:rFonts w:hint="eastAsia" w:ascii="宋体" w:hAnsi="宋体" w:eastAsia="宋体" w:cs="宋体"/>
                <w:i w:val="0"/>
                <w:iCs w:val="0"/>
                <w:color w:val="000000"/>
                <w:sz w:val="16"/>
                <w:szCs w:val="16"/>
                <w:u w:val="none"/>
              </w:rPr>
            </w:pPr>
          </w:p>
        </w:tc>
        <w:tc>
          <w:tcPr>
            <w:tcW w:w="2658" w:type="dxa"/>
            <w:gridSpan w:val="2"/>
            <w:tcBorders>
              <w:top w:val="nil"/>
              <w:left w:val="nil"/>
              <w:bottom w:val="single" w:color="000000" w:sz="4" w:space="0"/>
              <w:right w:val="nil"/>
            </w:tcBorders>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40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344"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2806" w:type="dxa"/>
            <w:gridSpan w:val="10"/>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本年收入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153"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事业单位经营收入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上级补助收入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附属单位上缴收入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15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2138"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3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33541517.25</w:t>
            </w:r>
          </w:p>
        </w:tc>
        <w:tc>
          <w:tcPr>
            <w:tcW w:w="11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32348670.93</w:t>
            </w: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31497647.55</w:t>
            </w: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851023.38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7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566301</w:t>
            </w:r>
          </w:p>
        </w:tc>
        <w:tc>
          <w:tcPr>
            <w:tcW w:w="14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天津市文学艺术界联合会</w:t>
            </w:r>
          </w:p>
        </w:tc>
        <w:tc>
          <w:tcPr>
            <w:tcW w:w="13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33541517.25</w:t>
            </w:r>
          </w:p>
        </w:tc>
        <w:tc>
          <w:tcPr>
            <w:tcW w:w="11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32348670.93</w:t>
            </w: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31497647.55</w:t>
            </w: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851023.38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8" w:type="dxa"/>
            <w:gridSpan w:val="13"/>
            <w:tcBorders>
              <w:top w:val="single" w:color="000000" w:sz="4"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pPr>
        <w:pStyle w:val="6"/>
        <w:wordWrap w:val="0"/>
        <w:spacing w:before="0" w:after="0" w:line="240" w:lineRule="auto"/>
        <w:ind w:firstLine="0" w:firstLineChars="0"/>
        <w:rPr>
          <w:rFonts w:hint="eastAsia" w:ascii="黑体" w:hAnsi="黑体" w:eastAsia="黑体"/>
          <w:sz w:val="30"/>
          <w:szCs w:val="30"/>
          <w:lang w:val="en-US" w:eastAsia="zh-CN"/>
        </w:rPr>
      </w:pPr>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7"/>
        <w:gridCol w:w="1388"/>
        <w:gridCol w:w="1482"/>
        <w:gridCol w:w="1836"/>
        <w:gridCol w:w="1802"/>
        <w:gridCol w:w="1798"/>
        <w:gridCol w:w="1884"/>
        <w:gridCol w:w="1692"/>
        <w:gridCol w:w="1860"/>
        <w:gridCol w:w="18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03" w:type="dxa"/>
            <w:gridSpan w:val="6"/>
            <w:tcBorders>
              <w:top w:val="nil"/>
              <w:left w:val="nil"/>
              <w:bottom w:val="single" w:color="000000" w:sz="4" w:space="0"/>
              <w:right w:val="nil"/>
            </w:tcBorders>
            <w:noWrap/>
            <w:vAlign w:val="center"/>
          </w:tcPr>
          <w:p>
            <w:pPr>
              <w:snapToGrid w:val="0"/>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：天津市文学艺术界联合会</w:t>
            </w:r>
          </w:p>
        </w:tc>
        <w:tc>
          <w:tcPr>
            <w:tcW w:w="3576" w:type="dxa"/>
            <w:gridSpan w:val="2"/>
            <w:tcBorders>
              <w:top w:val="nil"/>
              <w:left w:val="nil"/>
              <w:bottom w:val="single" w:color="000000" w:sz="4" w:space="0"/>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p>
        </w:tc>
        <w:tc>
          <w:tcPr>
            <w:tcW w:w="3709" w:type="dxa"/>
            <w:gridSpan w:val="2"/>
            <w:tcBorders>
              <w:top w:val="nil"/>
              <w:left w:val="nil"/>
              <w:bottom w:val="single" w:color="000000" w:sz="4" w:space="0"/>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388"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4203" w:type="dxa"/>
            <w:gridSpan w:val="8"/>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上年结转和结余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482"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7320" w:type="dxa"/>
            <w:gridSpan w:val="4"/>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财政拨款结转结余</w:t>
            </w:r>
          </w:p>
        </w:tc>
        <w:tc>
          <w:tcPr>
            <w:tcW w:w="5401"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非财政拨款结转结余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482"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0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79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8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69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6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84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单位资金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85"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48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1192846.32</w:t>
            </w:r>
          </w:p>
        </w:tc>
        <w:tc>
          <w:tcPr>
            <w:tcW w:w="183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1192846.32</w:t>
            </w:r>
          </w:p>
        </w:tc>
        <w:tc>
          <w:tcPr>
            <w:tcW w:w="186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1192846.32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566301</w:t>
            </w:r>
          </w:p>
        </w:tc>
        <w:tc>
          <w:tcPr>
            <w:tcW w:w="138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天津市文学艺术界联合会</w:t>
            </w:r>
          </w:p>
        </w:tc>
        <w:tc>
          <w:tcPr>
            <w:tcW w:w="148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1192846.32</w:t>
            </w:r>
          </w:p>
        </w:tc>
        <w:tc>
          <w:tcPr>
            <w:tcW w:w="183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1192846.32</w:t>
            </w:r>
          </w:p>
        </w:tc>
        <w:tc>
          <w:tcPr>
            <w:tcW w:w="186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1192846.32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10"/>
            <w:tcBorders>
              <w:top w:val="single" w:color="000000" w:sz="4" w:space="0"/>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pPr>
        <w:sectPr>
          <w:footerReference r:id="rId7"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6"/>
        <w:wordWrap w:val="0"/>
        <w:spacing w:before="0" w:after="0" w:line="800" w:lineRule="exact"/>
        <w:ind w:firstLine="602" w:firstLineChars="200"/>
        <w:rPr>
          <w:rFonts w:hint="eastAsia" w:ascii="黑体" w:hAnsi="黑体" w:eastAsia="黑体"/>
          <w:sz w:val="30"/>
          <w:szCs w:val="30"/>
          <w:lang w:val="en-US" w:eastAsia="zh-CN"/>
        </w:rPr>
      </w:pPr>
      <w:bookmarkStart w:id="7" w:name="_Toc16222"/>
      <w:r>
        <w:rPr>
          <w:rFonts w:hint="eastAsia" w:ascii="黑体" w:hAnsi="黑体" w:eastAsia="黑体"/>
          <w:sz w:val="30"/>
          <w:szCs w:val="30"/>
          <w:lang w:val="en-US" w:eastAsia="zh-CN"/>
        </w:rPr>
        <w:t>四、《支出决算表》</w:t>
      </w:r>
      <w:bookmarkEnd w:id="7"/>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2"/>
        <w:gridCol w:w="3228"/>
        <w:gridCol w:w="1980"/>
        <w:gridCol w:w="1968"/>
        <w:gridCol w:w="2016"/>
        <w:gridCol w:w="2010"/>
        <w:gridCol w:w="2062"/>
        <w:gridCol w:w="20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138" w:type="dxa"/>
            <w:gridSpan w:val="4"/>
            <w:tcBorders>
              <w:top w:val="nil"/>
              <w:left w:val="nil"/>
              <w:bottom w:val="single" w:color="000000" w:sz="4" w:space="0"/>
              <w:right w:val="nil"/>
            </w:tcBorders>
            <w:shd w:val="clear" w:color="auto" w:fill="FFFFFF"/>
            <w:noWrap/>
            <w:vAlign w:val="center"/>
          </w:tcPr>
          <w:p>
            <w:pPr>
              <w:snapToGrid w:val="0"/>
              <w:jc w:val="left"/>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天津市文学艺术界联合会</w:t>
            </w:r>
          </w:p>
        </w:tc>
        <w:tc>
          <w:tcPr>
            <w:tcW w:w="2016" w:type="dxa"/>
            <w:tcBorders>
              <w:top w:val="nil"/>
              <w:left w:val="nil"/>
              <w:bottom w:val="single" w:color="000000" w:sz="4" w:space="0"/>
              <w:right w:val="nil"/>
            </w:tcBorders>
            <w:shd w:val="clear" w:color="auto" w:fill="FFFFFF"/>
            <w:noWrap/>
            <w:vAlign w:val="center"/>
          </w:tcPr>
          <w:p>
            <w:pPr>
              <w:snapToGrid w:val="0"/>
              <w:jc w:val="center"/>
              <w:rPr>
                <w:rFonts w:hint="eastAsia" w:ascii="宋体" w:hAnsi="宋体" w:eastAsia="宋体" w:cs="宋体"/>
                <w:i w:val="0"/>
                <w:iCs w:val="0"/>
                <w:color w:val="000000"/>
                <w:sz w:val="22"/>
                <w:szCs w:val="22"/>
                <w:u w:val="none"/>
              </w:rPr>
            </w:pPr>
          </w:p>
        </w:tc>
        <w:tc>
          <w:tcPr>
            <w:tcW w:w="2010" w:type="dxa"/>
            <w:tcBorders>
              <w:top w:val="nil"/>
              <w:left w:val="nil"/>
              <w:bottom w:val="single" w:color="000000" w:sz="4" w:space="0"/>
              <w:right w:val="nil"/>
            </w:tcBorders>
            <w:shd w:val="clear" w:color="auto" w:fill="FFFFFF"/>
            <w:noWrap/>
            <w:vAlign w:val="center"/>
          </w:tcPr>
          <w:p>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基本支出</w:t>
            </w:r>
          </w:p>
        </w:tc>
        <w:tc>
          <w:tcPr>
            <w:tcW w:w="2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上缴上级支出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9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32612757.24</w:t>
            </w:r>
          </w:p>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30553511.82</w:t>
            </w:r>
          </w:p>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2059245.42</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一般公共服务支出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15485369.62</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15485369.62</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20129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群众团体事务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15485369.62</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15485369.62</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2012901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行政运行</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15485369.62</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15485369.62</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207</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文化旅游体育与传媒支出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12893164.26</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11054384.44</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1838779.82</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20701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文化和旅游</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11810055.42</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11054384.44</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755670.98</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2070111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文化创作与保护</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11810055.42</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11054384.44</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755670.98</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20799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其他文化旅游体育与传媒支出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1083108.84</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1083108.84</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2079999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其他文化旅游体育与传媒支出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1083108.84</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1083108.84</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208</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社会保障和就业支出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2785676.68</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2597860.68</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187816.00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20805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行政事业单位养老支出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2597860.68</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2597860.68</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2080505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机关事业单位基本养老保险缴费支出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1730506.32</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1730506.32</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2080506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机关事业单位职业年金缴费支出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867354.36</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867354.36</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20808</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抚恤</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172816.00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172816.00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2080801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死亡抚恤</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172816.00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172816.00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20899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其他社会保障和就业支出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2089999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其他社会保障和就业支出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210</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卫生健康支出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1366549.48</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1366549.48</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21011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行政事业单位医疗</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1366549.48</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1366549.48</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2101101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行政单位医疗</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591673.70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591673.70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2101102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事业单位医疗</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445781.30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445781.30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2101103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公务员医疗补助</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115360.08</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115360.08</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2101199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其他行政事业单位医疗支出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213734.40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213734.40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资源勘探工业信息等支出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32649.60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32649.60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其他资源勘探工业信息等支出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32649.60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32649.60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49347.60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49347.60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22999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49347.60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49347.60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2299999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49347.60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49347.60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single" w:color="000000" w:sz="4" w:space="0"/>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注：本表反映本年度各项支出情况。</w:t>
            </w:r>
          </w:p>
        </w:tc>
      </w:tr>
    </w:tbl>
    <w:p>
      <w:pPr>
        <w:pStyle w:val="6"/>
        <w:wordWrap w:val="0"/>
        <w:spacing w:before="0" w:after="0" w:line="800" w:lineRule="exact"/>
        <w:ind w:firstLine="421"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8" w:name="_Toc10133"/>
      <w:r>
        <w:rPr>
          <w:rFonts w:hint="eastAsia" w:ascii="黑体" w:hAnsi="黑体" w:eastAsia="黑体"/>
          <w:sz w:val="30"/>
          <w:szCs w:val="30"/>
          <w:lang w:val="en-US" w:eastAsia="zh-CN"/>
        </w:rPr>
        <w:t>五、《财政拨款收入支出决算总表》</w:t>
      </w:r>
      <w:bookmarkEnd w:id="8"/>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51"/>
        <w:gridCol w:w="2324"/>
        <w:gridCol w:w="2968"/>
        <w:gridCol w:w="2004"/>
        <w:gridCol w:w="1992"/>
        <w:gridCol w:w="1932"/>
        <w:gridCol w:w="20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43" w:type="dxa"/>
            <w:gridSpan w:val="3"/>
            <w:tcBorders>
              <w:top w:val="nil"/>
              <w:left w:val="nil"/>
              <w:bottom w:val="nil"/>
              <w:right w:val="nil"/>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天津市文学艺术界联合会</w:t>
            </w:r>
          </w:p>
        </w:tc>
        <w:tc>
          <w:tcPr>
            <w:tcW w:w="2004" w:type="dxa"/>
            <w:tcBorders>
              <w:top w:val="nil"/>
              <w:left w:val="nil"/>
              <w:bottom w:val="nil"/>
              <w:right w:val="nil"/>
            </w:tcBorders>
            <w:shd w:val="clear" w:color="auto" w:fill="FFFFFF"/>
            <w:noWrap/>
            <w:vAlign w:val="center"/>
          </w:tcPr>
          <w:p>
            <w:pPr>
              <w:snapToGrid w:val="0"/>
              <w:jc w:val="right"/>
              <w:rPr>
                <w:rFonts w:hint="eastAsia" w:ascii="宋体" w:hAnsi="宋体" w:eastAsia="宋体" w:cs="宋体"/>
                <w:i w:val="0"/>
                <w:iCs w:val="0"/>
                <w:color w:val="000000"/>
                <w:sz w:val="20"/>
                <w:szCs w:val="20"/>
                <w:u w:val="none"/>
              </w:rPr>
            </w:pPr>
          </w:p>
        </w:tc>
        <w:tc>
          <w:tcPr>
            <w:tcW w:w="1992" w:type="dxa"/>
            <w:tcBorders>
              <w:top w:val="nil"/>
              <w:left w:val="nil"/>
              <w:bottom w:val="nil"/>
              <w:right w:val="nil"/>
            </w:tcBorders>
            <w:shd w:val="clear" w:color="auto" w:fill="FFFFFF"/>
            <w:noWrap/>
            <w:vAlign w:val="center"/>
          </w:tcPr>
          <w:p>
            <w:pPr>
              <w:snapToGrid w:val="0"/>
              <w:jc w:val="right"/>
              <w:rPr>
                <w:rFonts w:hint="eastAsia" w:ascii="宋体" w:hAnsi="宋体" w:eastAsia="宋体" w:cs="宋体"/>
                <w:i w:val="0"/>
                <w:iCs w:val="0"/>
                <w:color w:val="000000"/>
                <w:sz w:val="20"/>
                <w:szCs w:val="20"/>
                <w:u w:val="none"/>
              </w:rPr>
            </w:pPr>
          </w:p>
        </w:tc>
        <w:tc>
          <w:tcPr>
            <w:tcW w:w="3949" w:type="dxa"/>
            <w:gridSpan w:val="2"/>
            <w:tcBorders>
              <w:top w:val="nil"/>
              <w:left w:val="nil"/>
              <w:bottom w:val="nil"/>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37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0913"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3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一般公共预算财政拨款</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政府性基金预算财政拨款</w:t>
            </w:r>
          </w:p>
        </w:tc>
        <w:tc>
          <w:tcPr>
            <w:tcW w:w="20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31497647.55</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15212716.37</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15212716.37</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12100055.42</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12100055.42</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2785676.68</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2785676.68</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1366549.48</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1366549.48</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32649.60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32649.60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本年收入合计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31497647.55</w:t>
            </w: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本年支出合计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31497647.55</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31497647.55</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年初财政拨款结转和结余</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年末财政拨款结转和结余</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spacing w:line="240" w:lineRule="auto"/>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31497647.55</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31497647.55</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31497647.55</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single" w:color="000000" w:sz="4" w:space="0"/>
              <w:left w:val="nil"/>
              <w:bottom w:val="nil"/>
              <w:right w:val="nil"/>
            </w:tcBorders>
            <w:shd w:val="clear" w:color="auto" w:fill="FFFFFF"/>
            <w:noWrap/>
            <w:vAlign w:val="center"/>
          </w:tcPr>
          <w:p>
            <w:pPr>
              <w:keepNext w:val="0"/>
              <w:keepLines w:val="0"/>
              <w:widowControl/>
              <w:suppressLineNumbers w:val="0"/>
              <w:snapToGrid w:val="0"/>
              <w:jc w:val="left"/>
              <w:textAlignment w:val="center"/>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sz w:val="20"/>
                <w:szCs w:val="20"/>
                <w:u w:val="none"/>
              </w:rPr>
              <w:t>注：本表反映本年度一般公共预算财政拨款、政府性基金预算财政拨款和国有资本经营预算财政拨款的总收支和年末结转结余情况。</w:t>
            </w:r>
          </w:p>
        </w:tc>
      </w:tr>
    </w:tbl>
    <w:p>
      <w:pPr>
        <w:pStyle w:val="6"/>
        <w:wordWrap w:val="0"/>
        <w:spacing w:before="0" w:after="0" w:line="800" w:lineRule="exact"/>
        <w:ind w:firstLine="421"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9" w:name="_Toc32088"/>
      <w:r>
        <w:rPr>
          <w:rFonts w:hint="eastAsia" w:ascii="黑体" w:hAnsi="黑体" w:eastAsia="黑体"/>
          <w:sz w:val="30"/>
          <w:szCs w:val="30"/>
          <w:lang w:val="en-US" w:eastAsia="zh-CN"/>
        </w:rPr>
        <w:t>六、《一般公共预算财政拨款支出决算表》</w:t>
      </w:r>
      <w:bookmarkEnd w:id="9"/>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6"/>
        <w:gridCol w:w="2891"/>
        <w:gridCol w:w="2446"/>
        <w:gridCol w:w="2446"/>
        <w:gridCol w:w="2446"/>
        <w:gridCol w:w="2446"/>
        <w:gridCol w:w="24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841" w:type="dxa"/>
            <w:gridSpan w:val="6"/>
            <w:tcBorders>
              <w:top w:val="nil"/>
              <w:left w:val="nil"/>
              <w:bottom w:val="nil"/>
              <w:right w:val="nil"/>
            </w:tcBorders>
            <w:shd w:val="clear" w:color="auto" w:fill="FFFFFF"/>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Style w:val="27"/>
                <w:lang w:val="en-US" w:eastAsia="zh-CN"/>
              </w:rPr>
              <w:t>天津市文学艺术界联合会</w:t>
            </w:r>
          </w:p>
        </w:tc>
        <w:tc>
          <w:tcPr>
            <w:tcW w:w="2447" w:type="dxa"/>
            <w:tcBorders>
              <w:top w:val="nil"/>
              <w:left w:val="nil"/>
              <w:bottom w:val="nil"/>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支出功能分类科目</w:t>
            </w:r>
          </w:p>
        </w:tc>
        <w:tc>
          <w:tcPr>
            <w:tcW w:w="2446"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7338" w:type="dxa"/>
            <w:gridSpan w:val="3"/>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基本支出</w:t>
            </w:r>
          </w:p>
        </w:tc>
        <w:tc>
          <w:tcPr>
            <w:tcW w:w="2447"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科目编码</w:t>
            </w:r>
          </w:p>
        </w:tc>
        <w:tc>
          <w:tcPr>
            <w:tcW w:w="289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科目名称</w:t>
            </w:r>
          </w:p>
        </w:tc>
        <w:tc>
          <w:tcPr>
            <w:tcW w:w="2446"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小计</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人员经费</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公用经费</w:t>
            </w:r>
          </w:p>
        </w:tc>
        <w:tc>
          <w:tcPr>
            <w:tcW w:w="2447"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31497647.55</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30231510.97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26514843.33</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3716667.64</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1266136.58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一般公共服务支出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15212716.37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15212716.37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12400248.73</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2812467.64</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20129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群众团体事务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15212716.37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15212716.37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12400248.73</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2812467.64</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2012901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行政运行</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15212716.37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15212716.37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12400248.73</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2812467.64</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207</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文化旅游体育与传媒支出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12100055.42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11054384.44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10150184.44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904200.00</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1045670.98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20701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文化和旅游</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11810055.42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11054384.44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10150184.44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904200.00</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755670.98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2070111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文化创作与保护</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11810055.42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11054384.44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10150184.44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904200.00</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755670.98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20799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其他文化旅游体育与传媒支出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290000.00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290000.00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2079999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其他文化旅游体育与传媒支出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290000.00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290000.00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208</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社会保障和就业支出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2785676.68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2597860.68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2597860.68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187816.00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20805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行政事业单位养老支出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2597860.68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2597860.68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2597860.68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2080505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机关事业单位基本养老保险缴费支出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1730506.32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1730506.32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1730506.32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2080506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机关事业单位职业年金缴费支出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867354.36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867354.36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867354.36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20808</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抚恤</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172816.00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172816.00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2080801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死亡抚恤</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172816.00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172816.00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20899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其他社会保障和就业支出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15000.00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15000.00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2089999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其他社会保障和就业支出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15000.00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15000.00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210</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卫生健康支出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1366549.48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1366549.48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1366549.48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21011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行政事业单位医疗</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1366549.48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1366549.48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1366549.48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2101101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行政单位医疗</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591673.70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591673.70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591673.70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2101102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事业单位医疗</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445781.30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445781.30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445781.30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2101103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公务员医疗补助</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115360.08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115360.08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115360.08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2101199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其他行政事业单位医疗支出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213734.40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213734.40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213734.40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资源勘探工业信息等支出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32649.60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32649.60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其他资源勘探工业信息等支出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32649.60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32649.60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nil"/>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pPr>
        <w:pStyle w:val="6"/>
        <w:wordWrap w:val="0"/>
        <w:spacing w:before="0" w:after="0" w:line="800" w:lineRule="exact"/>
        <w:ind w:firstLine="421"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0" w:name="_Toc8838"/>
      <w:r>
        <w:rPr>
          <w:rFonts w:hint="eastAsia" w:ascii="黑体" w:hAnsi="黑体" w:eastAsia="黑体"/>
          <w:sz w:val="30"/>
          <w:szCs w:val="30"/>
          <w:lang w:val="en-US" w:eastAsia="zh-CN"/>
        </w:rPr>
        <w:t>七、《一般公共预算财政拨款基本支出决算表》</w:t>
      </w:r>
      <w:bookmarkEnd w:id="10"/>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3"/>
        <w:gridCol w:w="2475"/>
        <w:gridCol w:w="2231"/>
        <w:gridCol w:w="754"/>
        <w:gridCol w:w="2444"/>
        <w:gridCol w:w="2231"/>
        <w:gridCol w:w="797"/>
        <w:gridCol w:w="2401"/>
        <w:gridCol w:w="22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27" w:type="dxa"/>
            <w:gridSpan w:val="5"/>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天津市文学艺术界联合会</w:t>
            </w:r>
          </w:p>
        </w:tc>
        <w:tc>
          <w:tcPr>
            <w:tcW w:w="2231" w:type="dxa"/>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p>
        </w:tc>
        <w:tc>
          <w:tcPr>
            <w:tcW w:w="797" w:type="dxa"/>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p>
        </w:tc>
        <w:tc>
          <w:tcPr>
            <w:tcW w:w="4633" w:type="dxa"/>
            <w:gridSpan w:val="2"/>
            <w:tcBorders>
              <w:top w:val="nil"/>
              <w:left w:val="nil"/>
              <w:bottom w:val="nil"/>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29"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w:t>
            </w:r>
          </w:p>
        </w:tc>
        <w:tc>
          <w:tcPr>
            <w:tcW w:w="10859" w:type="dxa"/>
            <w:gridSpan w:val="6"/>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25043313.68</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302</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3622633.76</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30704</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国外债务发行费用</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基本工资</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5631575.20</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30201</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109360.28</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310</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94033.88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30102</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津贴补贴</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3486640.98</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30202</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印刷费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120821.90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31001</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房屋建筑物购建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30103</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奖金</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2637210.92</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30204</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手续费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336.00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31002</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94033.88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30106</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伙食补助费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30205</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21361.60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31003</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30107</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绩效工资</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2497620.00</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30206</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电费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195830.85</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31005</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基础设施建设</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30108</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机关事业单位基本养老保险缴费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1730506.32</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30207</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邮电费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99399.43</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31006</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大型修缮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30109</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职业年金缴费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867354.36</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30208</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取暖费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307983.82</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31007</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信息网络及软件购置更新</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30110</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职工基本医疗保险缴费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1058694.05</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30209</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物业管理费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996643.27</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31008</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物资储备</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公务员医疗补助缴费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115360.08</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30211</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差旅费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50217.50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土地补偿</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30112</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其他社会保障缴费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69061.06</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30212</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因公出国（境）费用</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31010</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安置补助</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30113</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住房公积金</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5759357.00</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30213</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维修(护)费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128339.56</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31011</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地上附着物和青苗补偿</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30114</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30214</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租赁费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368276.80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31012</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拆迁补偿</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30199</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1189933.71</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30215</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会议费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31013</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对个人和家庭的补助</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1471529.65</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30216</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培训费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10096.00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其他交通工具购置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离休费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489436.00</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30217</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公务接待费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779.90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31021</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文物和陈列品购置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30302</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退休费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789258.30</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30218</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专用材料费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31022</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无形资产购置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退职（役）费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30224</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被装购置费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31099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30304</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抚恤金</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30225</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专用燃料费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312</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30305</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生活补助</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30226</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劳务费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90250.00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31201</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资本金注入</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30306</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救济费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30227</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委托业务费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112416.00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31203</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政府投资基金股权投资</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30307</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医疗费补助</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192495.35</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30228</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工会经费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189000.00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31204</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费用补贴</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30308</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助学金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30229</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福利费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185954.87</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31205</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利息补贴</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30309</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奖励金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340.00</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30231</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公务用车运行维护费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31206</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其他资本性补助</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30310</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个人农业生产补贴</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30239</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其他交通费用</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441714.46</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31299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代缴社会保险费</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30240</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税金及附加费用</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3370.87</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399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其他支出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30399</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其他对个人和家庭的补助</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30299</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185480.65</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39907</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国家赔偿费用支出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single" w:color="000000" w:sz="4" w:space="0"/>
              <w:right w:val="single" w:color="000000" w:sz="4" w:space="0"/>
            </w:tcBorders>
            <w:noWrap/>
            <w:vAlign w:val="center"/>
          </w:tcPr>
          <w:p>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single" w:color="000000" w:sz="4" w:space="0"/>
              <w:right w:val="single" w:color="000000" w:sz="4" w:space="0"/>
            </w:tcBorders>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307</w:t>
            </w:r>
          </w:p>
        </w:tc>
        <w:tc>
          <w:tcPr>
            <w:tcW w:w="244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债务利息及费用支出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39908</w:t>
            </w:r>
          </w:p>
        </w:tc>
        <w:tc>
          <w:tcPr>
            <w:tcW w:w="2401"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对民间非营利组织和群众性自治组织补贴</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30701</w:t>
            </w:r>
          </w:p>
        </w:tc>
        <w:tc>
          <w:tcPr>
            <w:tcW w:w="244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国内债务付息</w:t>
            </w:r>
          </w:p>
        </w:tc>
        <w:tc>
          <w:tcPr>
            <w:tcW w:w="2231"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39909</w:t>
            </w:r>
          </w:p>
        </w:tc>
        <w:tc>
          <w:tcPr>
            <w:tcW w:w="2401"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经常性赠与</w:t>
            </w:r>
          </w:p>
        </w:tc>
        <w:tc>
          <w:tcPr>
            <w:tcW w:w="2232"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30702</w:t>
            </w:r>
          </w:p>
        </w:tc>
        <w:tc>
          <w:tcPr>
            <w:tcW w:w="244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国外债务付息</w:t>
            </w:r>
          </w:p>
        </w:tc>
        <w:tc>
          <w:tcPr>
            <w:tcW w:w="2231"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39910</w:t>
            </w:r>
          </w:p>
        </w:tc>
        <w:tc>
          <w:tcPr>
            <w:tcW w:w="2401"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资本性赠与</w:t>
            </w:r>
          </w:p>
        </w:tc>
        <w:tc>
          <w:tcPr>
            <w:tcW w:w="2232"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30703</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国内债务发行费用</w:t>
            </w:r>
          </w:p>
        </w:tc>
        <w:tc>
          <w:tcPr>
            <w:tcW w:w="2231"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39999</w:t>
            </w:r>
          </w:p>
        </w:tc>
        <w:tc>
          <w:tcPr>
            <w:tcW w:w="2401"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其他支出</w:t>
            </w:r>
          </w:p>
        </w:tc>
        <w:tc>
          <w:tcPr>
            <w:tcW w:w="2232"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198"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人员经费合计</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26514843.33</w:t>
            </w:r>
          </w:p>
        </w:tc>
        <w:tc>
          <w:tcPr>
            <w:tcW w:w="8627"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公用经费合计</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3716667.64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9"/>
            <w:tcBorders>
              <w:top w:val="single" w:color="000000" w:sz="4" w:space="0"/>
              <w:left w:val="nil"/>
              <w:bottom w:val="nil"/>
              <w:right w:val="nil"/>
            </w:tcBorders>
            <w:noWrap/>
            <w:vAlign w:val="center"/>
          </w:tcPr>
          <w:p>
            <w:pPr>
              <w:pStyle w:val="24"/>
              <w:keepNext w:val="0"/>
              <w:keepLines w:val="0"/>
              <w:widowControl/>
              <w:suppressLineNumbers w:val="0"/>
              <w:snapToGrid w:val="0"/>
              <w:spacing w:before="60" w:beforeAutospacing="0" w:after="60" w:afterAutospacing="0"/>
              <w:ind w:left="0" w:leftChars="0" w:right="0" w:rightChars="0"/>
              <w:jc w:val="left"/>
              <w:rPr>
                <w:rFonts w:hint="eastAsia" w:ascii="宋体" w:hAnsi="宋体" w:eastAsia="宋体" w:cs="宋体"/>
                <w:b/>
                <w:bCs/>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pPr>
        <w:pStyle w:val="6"/>
        <w:wordWrap w:val="0"/>
        <w:spacing w:before="0" w:after="0" w:line="800" w:lineRule="exact"/>
        <w:ind w:firstLine="421"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1" w:name="_Toc2699"/>
      <w:r>
        <w:rPr>
          <w:rFonts w:hint="eastAsia" w:ascii="黑体" w:hAnsi="黑体" w:eastAsia="黑体"/>
          <w:b/>
          <w:bCs/>
          <w:sz w:val="30"/>
          <w:szCs w:val="30"/>
          <w:lang w:val="en-US" w:eastAsia="zh-CN"/>
        </w:rPr>
        <w:t>八、《政府性基金预算财政拨款收入支出决算表》</w:t>
      </w:r>
      <w:bookmarkEnd w:id="11"/>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5"/>
        <w:gridCol w:w="2828"/>
        <w:gridCol w:w="2070"/>
        <w:gridCol w:w="2071"/>
        <w:gridCol w:w="2071"/>
        <w:gridCol w:w="2071"/>
        <w:gridCol w:w="2071"/>
        <w:gridCol w:w="20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075" w:type="dxa"/>
            <w:gridSpan w:val="5"/>
            <w:tcBorders>
              <w:top w:val="nil"/>
              <w:left w:val="nil"/>
              <w:bottom w:val="nil"/>
              <w:right w:val="nil"/>
            </w:tcBorders>
            <w:shd w:val="clear" w:color="auto" w:fill="FFFFFF"/>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天津市文学艺术界联合会</w:t>
            </w:r>
          </w:p>
        </w:tc>
        <w:tc>
          <w:tcPr>
            <w:tcW w:w="2071" w:type="dxa"/>
            <w:tcBorders>
              <w:top w:val="nil"/>
              <w:left w:val="nil"/>
              <w:bottom w:val="nil"/>
              <w:right w:val="nil"/>
            </w:tcBorders>
            <w:shd w:val="clear" w:color="auto" w:fill="FFFFFF"/>
            <w:vAlign w:val="center"/>
          </w:tcPr>
          <w:p>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vAlign w:val="center"/>
          </w:tcPr>
          <w:p>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2070"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6213"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28"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0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nil"/>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注：本表反映本年度政府性基金预算财政拨款收入、支出及结转和结余情况。</w:t>
            </w:r>
          </w:p>
        </w:tc>
      </w:tr>
    </w:tbl>
    <w:p>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天津市文学艺术界联合会2025年度政府性基金预算财政拨款收入支出决算表为空表。</w:t>
      </w:r>
    </w:p>
    <w:p>
      <w:pPr>
        <w:pStyle w:val="6"/>
        <w:wordWrap w:val="0"/>
        <w:spacing w:before="0" w:after="0" w:line="800" w:lineRule="exact"/>
        <w:ind w:firstLine="421"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2" w:name="_Toc11009"/>
      <w:r>
        <w:rPr>
          <w:rFonts w:hint="eastAsia" w:ascii="黑体" w:hAnsi="黑体" w:eastAsia="黑体"/>
          <w:b/>
          <w:bCs/>
          <w:sz w:val="30"/>
          <w:szCs w:val="30"/>
          <w:lang w:val="en-US" w:eastAsia="zh-CN"/>
        </w:rPr>
        <w:t>九、《国有资本经营预算财政拨款收入支出决算表》</w:t>
      </w:r>
      <w:bookmarkEnd w:id="12"/>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9"/>
        <w:gridCol w:w="4663"/>
        <w:gridCol w:w="1761"/>
        <w:gridCol w:w="1761"/>
        <w:gridCol w:w="1761"/>
        <w:gridCol w:w="1761"/>
        <w:gridCol w:w="1761"/>
        <w:gridCol w:w="17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244" w:type="dxa"/>
            <w:gridSpan w:val="4"/>
            <w:tcBorders>
              <w:top w:val="nil"/>
              <w:left w:val="nil"/>
              <w:bottom w:val="nil"/>
              <w:right w:val="nil"/>
            </w:tcBorders>
            <w:noWrap/>
            <w:vAlign w:val="center"/>
          </w:tcPr>
          <w:p>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天津市文学艺术界联合会</w:t>
            </w:r>
          </w:p>
        </w:tc>
        <w:tc>
          <w:tcPr>
            <w:tcW w:w="1761" w:type="dxa"/>
            <w:tcBorders>
              <w:top w:val="nil"/>
              <w:left w:val="nil"/>
              <w:bottom w:val="nil"/>
              <w:right w:val="nil"/>
            </w:tcBorders>
            <w:vAlign w:val="center"/>
          </w:tcPr>
          <w:p>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项 </w:t>
            </w:r>
            <w:r>
              <w:rPr>
                <w:rStyle w:val="28"/>
                <w:sz w:val="20"/>
                <w:szCs w:val="20"/>
                <w:lang w:val="en-US" w:eastAsia="zh-CN"/>
              </w:rPr>
              <w:t xml:space="preserve">   </w:t>
            </w:r>
            <w:r>
              <w:rPr>
                <w:rFonts w:hint="eastAsia" w:ascii="宋体" w:hAnsi="宋体" w:eastAsia="宋体" w:cs="宋体"/>
                <w:i w:val="0"/>
                <w:iCs w:val="0"/>
                <w:color w:val="000000"/>
                <w:kern w:val="0"/>
                <w:sz w:val="20"/>
                <w:szCs w:val="20"/>
                <w:u w:val="none"/>
                <w:lang w:val="en-US" w:eastAsia="zh-CN"/>
              </w:rPr>
              <w:t>目</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5283"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4663"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5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466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注：本表反映本年度国有资本</w:t>
            </w:r>
            <w:r>
              <w:rPr>
                <w:rFonts w:hint="eastAsia" w:ascii="宋体" w:hAnsi="宋体" w:eastAsia="宋体" w:cs="宋体"/>
                <w:b w:val="0"/>
                <w:bCs w:val="0"/>
                <w:i w:val="0"/>
                <w:iCs w:val="0"/>
                <w:color w:val="000000"/>
                <w:kern w:val="0"/>
                <w:sz w:val="20"/>
                <w:szCs w:val="20"/>
                <w:u w:val="none"/>
                <w:lang w:val="en-US" w:eastAsia="zh-CN"/>
              </w:rPr>
              <w:t>经营预算财政拨款收入、支</w:t>
            </w:r>
            <w:r>
              <w:rPr>
                <w:rFonts w:hint="eastAsia" w:ascii="宋体" w:hAnsi="宋体" w:eastAsia="宋体" w:cs="宋体"/>
                <w:i w:val="0"/>
                <w:iCs w:val="0"/>
                <w:color w:val="000000"/>
                <w:kern w:val="0"/>
                <w:sz w:val="20"/>
                <w:szCs w:val="20"/>
                <w:u w:val="none"/>
                <w:lang w:val="en-US" w:eastAsia="zh-CN"/>
              </w:rPr>
              <w:t>出及结转和结余情况。</w:t>
            </w:r>
          </w:p>
        </w:tc>
      </w:tr>
    </w:tbl>
    <w:p>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天津市文学艺术界联合会2025年度国有资本经营预算财政拨款收入支出决算表为空表。</w:t>
      </w:r>
    </w:p>
    <w:p>
      <w:pPr>
        <w:pStyle w:val="6"/>
        <w:wordWrap w:val="0"/>
        <w:spacing w:before="0" w:after="0" w:line="800" w:lineRule="exact"/>
        <w:ind w:firstLine="421"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3" w:name="_Toc25214"/>
      <w:r>
        <w:rPr>
          <w:rFonts w:hint="eastAsia" w:ascii="黑体" w:hAnsi="黑体" w:eastAsia="黑体"/>
          <w:b/>
          <w:bCs/>
          <w:sz w:val="30"/>
          <w:szCs w:val="30"/>
          <w:lang w:val="en-US" w:eastAsia="zh-CN"/>
        </w:rPr>
        <w:t>十、《财政拨款“三公”经费支出决算表》</w:t>
      </w:r>
      <w:bookmarkEnd w:id="13"/>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8"/>
        <w:gridCol w:w="3018"/>
        <w:gridCol w:w="2668"/>
        <w:gridCol w:w="2668"/>
        <w:gridCol w:w="2669"/>
        <w:gridCol w:w="25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448" w:type="dxa"/>
            <w:gridSpan w:val="4"/>
            <w:tcBorders>
              <w:bottom w:val="single" w:color="auto" w:sz="4" w:space="0"/>
              <w:tl2br w:val="nil"/>
              <w:tr2bl w:val="nil"/>
            </w:tcBorders>
            <w:shd w:val="clear" w:color="auto" w:fill="FFFFFF"/>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天津市文学艺术界联合会</w:t>
            </w:r>
          </w:p>
        </w:tc>
        <w:tc>
          <w:tcPr>
            <w:tcW w:w="2299" w:type="dxa"/>
            <w:tcBorders>
              <w:bottom w:val="single" w:color="auto" w:sz="4" w:space="0"/>
              <w:tl2br w:val="nil"/>
              <w:tr2bl w:val="nil"/>
            </w:tcBorders>
            <w:shd w:val="clear" w:color="auto" w:fill="FFFFFF"/>
            <w:vAlign w:val="center"/>
          </w:tcPr>
          <w:p>
            <w:pPr>
              <w:snapToGrid w:val="0"/>
              <w:rPr>
                <w:rFonts w:hint="eastAsia" w:ascii="宋体" w:hAnsi="宋体" w:eastAsia="宋体" w:cs="宋体"/>
                <w:i w:val="0"/>
                <w:iCs w:val="0"/>
                <w:color w:val="000000"/>
                <w:sz w:val="20"/>
                <w:szCs w:val="20"/>
                <w:u w:val="none"/>
              </w:rPr>
            </w:pPr>
          </w:p>
        </w:tc>
        <w:tc>
          <w:tcPr>
            <w:tcW w:w="2299" w:type="dxa"/>
            <w:tcBorders>
              <w:bottom w:val="single" w:color="auto" w:sz="4" w:space="0"/>
              <w:tl2br w:val="nil"/>
              <w:tr2bl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362"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因公出国（境）费</w:t>
            </w:r>
          </w:p>
        </w:tc>
        <w:tc>
          <w:tcPr>
            <w:tcW w:w="7087"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公务用车购置及运行维护费</w:t>
            </w:r>
          </w:p>
        </w:tc>
        <w:tc>
          <w:tcPr>
            <w:tcW w:w="2299"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i w:val="0"/>
                <w:iCs w:val="0"/>
                <w:color w:val="000000"/>
                <w:sz w:val="20"/>
                <w:szCs w:val="20"/>
                <w:u w:val="none"/>
              </w:rPr>
            </w:pPr>
          </w:p>
        </w:tc>
        <w:tc>
          <w:tcPr>
            <w:tcW w:w="2362"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i w:val="0"/>
                <w:iCs w:val="0"/>
                <w:color w:val="000000"/>
                <w:sz w:val="20"/>
                <w:szCs w:val="20"/>
                <w:u w:val="none"/>
              </w:rPr>
            </w:pPr>
          </w:p>
        </w:tc>
        <w:tc>
          <w:tcPr>
            <w:tcW w:w="236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36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购置费</w:t>
            </w:r>
          </w:p>
        </w:tc>
        <w:tc>
          <w:tcPr>
            <w:tcW w:w="229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运行维护费</w:t>
            </w:r>
          </w:p>
        </w:tc>
        <w:tc>
          <w:tcPr>
            <w:tcW w:w="2299"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29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5779.90</w:t>
            </w:r>
          </w:p>
        </w:tc>
        <w:tc>
          <w:tcPr>
            <w:tcW w:w="267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5000.00</w:t>
            </w:r>
          </w:p>
        </w:tc>
        <w:tc>
          <w:tcPr>
            <w:tcW w:w="230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5000.00</w:t>
            </w:r>
          </w:p>
        </w:tc>
        <w:tc>
          <w:tcPr>
            <w:tcW w:w="229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779.90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68" w:type="dxa"/>
            <w:gridSpan w:val="6"/>
            <w:tcBorders>
              <w:top w:val="single" w:color="auto" w:sz="4" w:space="0"/>
              <w:tl2br w:val="nil"/>
              <w:tr2bl w:val="nil"/>
            </w:tcBorders>
            <w:vAlign w:val="center"/>
          </w:tcPr>
          <w:p>
            <w:pPr>
              <w:snapToGrid w:val="0"/>
              <w:jc w:val="left"/>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kern w:val="0"/>
                <w:sz w:val="20"/>
                <w:szCs w:val="20"/>
                <w:u w:val="none"/>
                <w:lang w:val="en-US" w:eastAsia="zh-CN"/>
              </w:rPr>
              <w:t>注：本表反映本年度一般公共预算和政府性基金预算“三公”经费支出决算情况。</w:t>
            </w:r>
          </w:p>
        </w:tc>
      </w:tr>
    </w:tbl>
    <w:p>
      <w:pPr>
        <w:pStyle w:val="6"/>
        <w:wordWrap w:val="0"/>
        <w:spacing w:before="0" w:after="0" w:line="800" w:lineRule="exact"/>
        <w:ind w:firstLine="421" w:firstLineChars="200"/>
        <w:rPr>
          <w:rFonts w:hint="eastAsia" w:ascii="黑体" w:hAnsi="黑体" w:eastAsia="黑体"/>
          <w:b w:val="0"/>
          <w:sz w:val="30"/>
          <w:szCs w:val="30"/>
          <w:highlight w:val="none"/>
        </w:rPr>
      </w:pPr>
      <w:r>
        <w:rPr>
          <w:rFonts w:hint="eastAsia" w:ascii="黑体" w:hAnsi="仿宋" w:eastAsia="黑体"/>
          <w:sz w:val="21"/>
          <w:szCs w:val="21"/>
          <w:lang w:val="en-US" w:eastAsia="zh-CN"/>
        </w:rPr>
        <w:br w:type="page"/>
      </w:r>
      <w:bookmarkStart w:id="14" w:name="_Toc18972"/>
      <w:r>
        <w:rPr>
          <w:rFonts w:hint="eastAsia" w:ascii="黑体" w:hAnsi="黑体" w:eastAsia="黑体"/>
          <w:b/>
          <w:bCs/>
          <w:sz w:val="30"/>
          <w:szCs w:val="30"/>
          <w:lang w:val="en-US" w:eastAsia="zh-CN"/>
        </w:rPr>
        <w:t>十一、《项目支出决算表》</w:t>
      </w:r>
      <w:bookmarkEnd w:id="14"/>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1"/>
        <w:gridCol w:w="2838"/>
        <w:gridCol w:w="2053"/>
        <w:gridCol w:w="2053"/>
        <w:gridCol w:w="2053"/>
        <w:gridCol w:w="2053"/>
        <w:gridCol w:w="2053"/>
        <w:gridCol w:w="20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075" w:type="dxa"/>
            <w:gridSpan w:val="4"/>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天津市文学艺术界联合会</w:t>
            </w:r>
          </w:p>
        </w:tc>
        <w:tc>
          <w:tcPr>
            <w:tcW w:w="2053" w:type="dxa"/>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p>
        </w:tc>
        <w:tc>
          <w:tcPr>
            <w:tcW w:w="2053" w:type="dxa"/>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p>
        </w:tc>
        <w:tc>
          <w:tcPr>
            <w:tcW w:w="4107" w:type="dxa"/>
            <w:gridSpan w:val="2"/>
            <w:tcBorders>
              <w:top w:val="nil"/>
              <w:left w:val="nil"/>
              <w:bottom w:val="nil"/>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3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2319" w:type="dxa"/>
            <w:gridSpan w:val="6"/>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  年  支  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0"/>
                <w:szCs w:val="20"/>
                <w:u w:val="none"/>
              </w:rPr>
            </w:pPr>
          </w:p>
        </w:tc>
        <w:tc>
          <w:tcPr>
            <w:tcW w:w="2838" w:type="dxa"/>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经营预算</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财政专户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管理资金</w:t>
            </w:r>
          </w:p>
        </w:tc>
        <w:tc>
          <w:tcPr>
            <w:tcW w:w="20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单位资金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969"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2059245.42</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1266136.58</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793108.84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207</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文化旅游体育与传媒支出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1838779.82</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1045670.98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793108.84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20701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文化和旅游</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755670.98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755670.98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2070111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文化创作与保护</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755670.98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755670.98</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20799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其他文化旅游体育与传媒支出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1083108.84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290000.00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793108.84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2079999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其他文化旅游体育与传媒支出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1083108.84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290000.00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793108.84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社会保障和就业支出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187816.00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187816.00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20808</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抚恤</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172816.00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172816.00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2080801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死亡抚恤</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172816.00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172816.00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其他社会保障和就业支出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2089999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其他社会保障和就业支出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资源勘探工业信息等支出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32649.60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32649.60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其他资源勘探工业信息等支出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32649.60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32649.60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注：本表反映本年度项目支出决算情况，其中支出数包括当年预算资金和以前年度结转资金安排的合计实际支出。</w:t>
            </w:r>
          </w:p>
        </w:tc>
      </w:tr>
    </w:tbl>
    <w:p>
      <w:pPr>
        <w:sectPr>
          <w:footerReference r:id="rId8"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5"/>
        <w:wordWrap w:val="0"/>
        <w:spacing w:before="0" w:after="0" w:line="600" w:lineRule="exact"/>
        <w:jc w:val="center"/>
        <w:rPr>
          <w:rFonts w:ascii="方正小标宋简体" w:hAnsi="方正小标宋简体" w:eastAsia="方正小标宋简体" w:cs="方正小标宋简体"/>
          <w:b w:val="0"/>
          <w:sz w:val="44"/>
          <w:szCs w:val="44"/>
          <w:highlight w:val="none"/>
        </w:rPr>
      </w:pPr>
      <w:bookmarkStart w:id="15" w:name="_Toc7922"/>
      <w:r>
        <w:rPr>
          <w:rFonts w:hint="eastAsia" w:ascii="方正小标宋简体" w:hAnsi="方正小标宋简体" w:eastAsia="方正小标宋简体" w:cs="方正小标宋简体"/>
          <w:b w:val="0"/>
          <w:bCs w:val="0"/>
          <w:lang w:val="en-US" w:eastAsia="zh-CN"/>
        </w:rPr>
        <w:t>第三部分  2025年度部门决算情况说明</w:t>
      </w:r>
      <w:bookmarkEnd w:id="15"/>
    </w:p>
    <w:p>
      <w:pPr>
        <w:spacing w:line="600" w:lineRule="exact"/>
        <w:ind w:firstLine="600" w:firstLineChars="200"/>
        <w:rPr>
          <w:rFonts w:hint="eastAsia" w:ascii="黑体" w:eastAsia="黑体"/>
          <w:sz w:val="30"/>
          <w:szCs w:val="30"/>
          <w:highlight w:val="none"/>
        </w:rPr>
      </w:pPr>
    </w:p>
    <w:p>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6" w:name="_Toc7052"/>
      <w:r>
        <w:rPr>
          <w:rFonts w:hint="eastAsia" w:ascii="黑体" w:hAnsi="黑体" w:eastAsia="黑体" w:cs="方正仿宋_GB2312"/>
          <w:bCs w:val="0"/>
          <w:sz w:val="30"/>
          <w:szCs w:val="30"/>
          <w:lang w:val="en-US" w:eastAsia="zh-CN"/>
        </w:rPr>
        <w:t>一、收入支出决算总体情况说明</w:t>
      </w:r>
      <w:bookmarkEnd w:id="16"/>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天津市文学艺术界联合会2025年度收入、支出决算总计33,541,517.25元。与2024年度相比，收、支总计各增加253,714.55元，增长0.76%，主要原因是人员调整，人员经费增加。</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收入包括：一般公共预算财政拨款收入31,497,647.55元、其他收入851,023.38元。</w:t>
      </w:r>
    </w:p>
    <w:p>
      <w:pPr>
        <w:spacing w:line="600" w:lineRule="exact"/>
        <w:ind w:firstLine="600"/>
        <w:rPr>
          <w:rFonts w:hint="eastAsia" w:eastAsia="仿宋_GB2312"/>
          <w:sz w:val="30"/>
          <w:szCs w:val="30"/>
          <w:highlight w:val="none"/>
          <w:lang w:val="en-US" w:eastAsia="zh-CN"/>
        </w:rPr>
      </w:pPr>
      <w:bookmarkStart w:id="17" w:name="_Toc6621"/>
      <w:r>
        <w:rPr>
          <w:rFonts w:hint="eastAsia" w:eastAsia="仿宋_GB2312"/>
          <w:sz w:val="30"/>
          <w:szCs w:val="30"/>
          <w:highlight w:val="none"/>
          <w:lang w:val="en-US" w:eastAsia="zh-CN"/>
        </w:rPr>
        <w:t>支出包括：一般公共服务支出15,485,369.62元、文化旅游体育与传媒支出12,893,164.26元、社会保障和就业支出2,785,676.68元、卫生健康支出1,366,549.48元、资源勘探工业信息等支出32,649.60元、其他支出49,347.60元。</w:t>
      </w:r>
    </w:p>
    <w:p>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r>
        <w:rPr>
          <w:rFonts w:hint="eastAsia" w:ascii="黑体" w:hAnsi="黑体" w:eastAsia="黑体" w:cs="方正仿宋_GB2312"/>
          <w:bCs w:val="0"/>
          <w:sz w:val="30"/>
          <w:szCs w:val="30"/>
          <w:lang w:val="en-US" w:eastAsia="zh-CN"/>
        </w:rPr>
        <w:t>二、收入决算情况说明</w:t>
      </w:r>
      <w:bookmarkEnd w:id="17"/>
    </w:p>
    <w:p>
      <w:pPr>
        <w:spacing w:line="600" w:lineRule="exact"/>
        <w:ind w:firstLine="600"/>
        <w:rPr>
          <w:rFonts w:hint="eastAsia" w:eastAsia="仿宋_GB2312"/>
          <w:sz w:val="30"/>
          <w:szCs w:val="30"/>
          <w:highlight w:val="yellow"/>
          <w:lang w:val="en-US" w:eastAsia="zh-CN"/>
        </w:rPr>
      </w:pPr>
      <w:r>
        <w:rPr>
          <w:rFonts w:hint="eastAsia" w:eastAsia="仿宋_GB2312"/>
          <w:sz w:val="30"/>
          <w:szCs w:val="30"/>
          <w:highlight w:val="none"/>
          <w:lang w:val="en-US" w:eastAsia="zh-CN"/>
        </w:rPr>
        <w:t>天津市文学艺术界联合会2025年度本年收入合计32,348,670.93元，与2024年度相比增加538,608.49元，主要原因是人员调整，人员经费增加。其中：一般公共预算财政拨款收入31,497,647.55元，占97.37%；其他收入851,023.38元，占2.63%。</w:t>
      </w:r>
    </w:p>
    <w:p>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8" w:name="_Toc21049"/>
      <w:r>
        <w:rPr>
          <w:rFonts w:hint="eastAsia" w:ascii="黑体" w:hAnsi="黑体" w:eastAsia="黑体" w:cs="方正仿宋_GB2312"/>
          <w:bCs w:val="0"/>
          <w:sz w:val="30"/>
          <w:szCs w:val="30"/>
          <w:highlight w:val="none"/>
          <w:u w:val="none"/>
          <w:lang w:val="en-US" w:eastAsia="zh-CN"/>
        </w:rPr>
        <w:t>三、支出决算情况说明</w:t>
      </w:r>
      <w:bookmarkEnd w:id="18"/>
    </w:p>
    <w:p>
      <w:pPr>
        <w:spacing w:line="600" w:lineRule="exact"/>
        <w:ind w:firstLine="600" w:firstLineChars="200"/>
        <w:rPr>
          <w:rFonts w:hint="eastAsia" w:eastAsia="仿宋_GB2312"/>
          <w:sz w:val="30"/>
          <w:szCs w:val="30"/>
          <w:highlight w:val="yellow"/>
          <w:lang w:val="en-US" w:eastAsia="zh-CN"/>
        </w:rPr>
      </w:pPr>
      <w:r>
        <w:rPr>
          <w:rFonts w:hint="eastAsia" w:eastAsia="仿宋_GB2312"/>
          <w:sz w:val="30"/>
          <w:szCs w:val="30"/>
          <w:highlight w:val="none"/>
          <w:lang w:val="en-US" w:eastAsia="zh-CN"/>
        </w:rPr>
        <w:t>天津市文学艺术界联合会2025年度本年支出合计32,612,757.24元，与2024年度相比增加517,800.86元，主要原因是人员调整，人员经费增加。其中：</w:t>
      </w:r>
      <w:r>
        <w:rPr>
          <w:rFonts w:hint="eastAsia" w:eastAsia="仿宋_GB2312"/>
          <w:sz w:val="30"/>
          <w:szCs w:val="30"/>
          <w:highlight w:val="none"/>
        </w:rPr>
        <w:t>基本支出30,553,511.82元，占93.69%；项目支出2,059,245.42元，占6.31%。</w:t>
      </w:r>
    </w:p>
    <w:p>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9" w:name="_Toc8231"/>
      <w:r>
        <w:rPr>
          <w:rFonts w:hint="eastAsia" w:ascii="黑体" w:hAnsi="黑体" w:eastAsia="黑体" w:cs="方正仿宋_GB2312"/>
          <w:bCs w:val="0"/>
          <w:sz w:val="30"/>
          <w:szCs w:val="30"/>
          <w:highlight w:val="none"/>
          <w:u w:val="none"/>
          <w:lang w:val="en-US" w:eastAsia="zh-CN"/>
        </w:rPr>
        <w:t>四、财政拨款收支决算总体情况说明</w:t>
      </w:r>
      <w:bookmarkEnd w:id="19"/>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天津市文学艺术界联合会2025年度财政拨款收入、支出决算总计31,497,647.55元。与2024年度相比，财政拨款收、支总计各增加234,575.14元，增长0.75%，主要原因是人员调整，人员经费增加。</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收入包括：一般公共预算财政拨款31,497,647.55元。</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支出包括：一般公共服务支出15,212,716.37元、文化旅游体育与传媒支出12,100,055.42元、社会保障和就业支出2,785,676.68元、卫生健康支出1,366,549.48元、资源勘探工业信息等支出32,649.60元。</w:t>
      </w:r>
    </w:p>
    <w:p>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20" w:name="_Toc24201"/>
      <w:r>
        <w:rPr>
          <w:rFonts w:hint="eastAsia" w:ascii="黑体" w:hAnsi="黑体" w:eastAsia="黑体" w:cs="方正仿宋_GB2312"/>
          <w:bCs w:val="0"/>
          <w:sz w:val="30"/>
          <w:szCs w:val="30"/>
          <w:highlight w:val="none"/>
          <w:u w:val="none"/>
          <w:lang w:val="en-US" w:eastAsia="zh-CN"/>
        </w:rPr>
        <w:t>五、一般公共预算财政拨款支出决算情况说明</w:t>
      </w:r>
      <w:bookmarkEnd w:id="20"/>
    </w:p>
    <w:p>
      <w:pPr>
        <w:spacing w:line="600" w:lineRule="exact"/>
        <w:ind w:left="480" w:left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（一）总体情况</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市文学艺术界联合会2025年度一般公共预算财政拨款支出合计31,497,647.55元，占本年支出合计的96.58%。与2024年度相比，一般公共预算财政拨款支出增加234,575.14元，增长0.75%，主要原因是人员调整，人员经费增加。</w:t>
      </w:r>
    </w:p>
    <w:p>
      <w:pPr>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lang w:val="en-US" w:eastAsia="zh-CN"/>
        </w:rPr>
        <w:t>（二）支出结构情况</w:t>
      </w:r>
    </w:p>
    <w:p>
      <w:pPr>
        <w:spacing w:line="600" w:lineRule="exact"/>
        <w:ind w:firstLine="600" w:firstLineChars="200"/>
        <w:rPr>
          <w:rFonts w:eastAsia="仿宋_GB2312"/>
          <w:sz w:val="30"/>
          <w:szCs w:val="30"/>
          <w:highlight w:val="none"/>
        </w:rPr>
      </w:pPr>
      <w:r>
        <w:rPr>
          <w:rFonts w:hint="eastAsia" w:eastAsia="仿宋_GB2312"/>
          <w:sz w:val="30"/>
          <w:szCs w:val="30"/>
          <w:highlight w:val="none"/>
          <w:lang w:val="en-US" w:eastAsia="zh-CN"/>
        </w:rPr>
        <w:t>2025年度一般公共预算财政拨款支出31,497,647.55元，主要用于以下方面：</w:t>
      </w:r>
      <w:r>
        <w:rPr>
          <w:rFonts w:hint="eastAsia" w:eastAsia="仿宋_GB2312"/>
          <w:sz w:val="30"/>
          <w:szCs w:val="30"/>
          <w:highlight w:val="none"/>
        </w:rPr>
        <w:t>一般公共服务支出（类）支出15,212,716.37元，占48.30%，文化旅游体育与传媒支出（类）支出12,100,055.42元，占38.42%，社会保障和就业支出（类）支出2,785,676.68元，占8.84%，卫生健康支出（类）支出1,366,549.48元，占4.34%，资源勘探工业信息等支出（类）支出32,649.60元，占0.10%。</w:t>
      </w:r>
    </w:p>
    <w:p>
      <w:pPr>
        <w:spacing w:line="600" w:lineRule="exact"/>
        <w:ind w:firstLine="602" w:firstLine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（三）具体情况</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2025年度一般公共预算财政拨款支出年初预算为28,968,000.00元，支出决算为31,497,647.55元，完成年初预算的108.73%。其中：</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1.一般公共服务支出（类）群众团体事务（款）行政运行（项）年初预算为13,551,000.00元，支出决算为15,212,716.37元，完成年初预算的112.26%，决算数大于年初预算数的主要原因是：人员调整，人员经费增加。</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文化旅游体育与传媒支出（类）文化和旅游（款）文化创作与保护（项）年初预算为11,047,000.00元，支出决算为11,810,055.42元，完成年初预算的106.91%，决算数大于年初预算数的主要原因是：人员调整，人员经费增加。</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文化旅游体育与传媒支出（类）其他文化旅游体育与传媒支出（款）其他文化旅游体育与传媒支出（项）年初预算为300,000.00元，支出决算为290,000.00元，完成年初预算的96.67%，决算数小于年初预算数的主要原因是：落实过紧日子要求，严格控制经费支出。</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4.社会保障和就业支出（类）行政事业单位养老支出（款）机关事业单位基本养老保险缴费支出（项）年初预算为1,691,000.00元，支出决算为1,730,506.32元，完成年初预算的102.34%，决算数大于年初预算数的主要原因是：本年度因人员增减变动导致养老保险缴费较预算有所变化。</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5.社会保障和就业支出（类）行政事业单位养老支出（款）机关事业单位职业年金缴费支出（项）年初预算为845,000.00元，支出决算为867,354.36元，完成年初预算的102.65%，决算数大于年初预算数的主要原因是：本年度因人员增减变动导致职业年金缴费较预算有所变化。</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6.社会保障和就业支出（类）抚恤（款）死亡抚恤（项）年初预算为0.00元，支出决算为172,816.00元，决算数大于年初预算数的主要原因是：年中追加去世人员抚恤金项目。</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7.社会保障和就业支出（类）其他社会保障和就业支出（款）其他社会保障和就业支出（项）年初预算为0.00元，支出决算为15,000.00元，决算数大于年初预算数的主要原因是：年中追加离休干部一次性生活补助。</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8.卫生健康支出（类）行政事业单位医疗（款）行政单位医疗（项）年初预算为659,000.00元，支出决算为591,673.70元，完成年初预算的89.78%，决算数小于年初预算数的主要原因是：本年度因人员增减变动导致行政单位医疗支出较预算有所变化。</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9.卫生健康支出（类）行政事业单位医疗（款）事业单位医疗（项）年初预算为491,000.00元，支出决算为445,781.30元，完成年初预算的90.79%，决算数小于年初预算数的主要原因是：本年度因人员增减变动导致事业单位医疗支出较预算有所变化。</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10.卫生健康支出（类）行政事业单位医疗（款）公务员医疗补助（项）年初预算为118,000.00元，支出决算为115,360.08元，完成年初预算的97.76%，决算数小于年初预算数的主要原因是：本年度因人员增减变动导致公务员医疗补助支出较预算有所变化。</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11.卫生健康支出（类）行政事业单位医疗（款）其他行政事业单位医疗支出（项）年初预算为266,000.00元，支出决算为213,734.40元，完成年初预算的80.35%，决算数小于年初预算数的主要原因是：本年度因人员增减变动导致其他行政事业单位医疗支出较预算有所变化。</w:t>
      </w:r>
    </w:p>
    <w:p>
      <w:pPr>
        <w:pStyle w:val="6"/>
        <w:spacing w:before="0" w:after="0" w:line="600" w:lineRule="exact"/>
        <w:ind w:firstLine="602" w:firstLineChars="200"/>
        <w:rPr>
          <w:rFonts w:ascii="黑体" w:hAnsi="黑体" w:eastAsia="黑体"/>
          <w:b w:val="0"/>
          <w:sz w:val="30"/>
          <w:szCs w:val="30"/>
          <w:highlight w:val="none"/>
        </w:rPr>
      </w:pPr>
      <w:bookmarkStart w:id="21" w:name="_Toc17234"/>
      <w:r>
        <w:rPr>
          <w:rFonts w:hint="eastAsia" w:ascii="黑体" w:hAnsi="黑体" w:eastAsia="黑体" w:cs="方正仿宋_GB2312"/>
          <w:bCs w:val="0"/>
          <w:sz w:val="30"/>
          <w:szCs w:val="30"/>
          <w:highlight w:val="none"/>
          <w:u w:val="none"/>
          <w:lang w:val="en-US" w:eastAsia="zh-CN"/>
        </w:rPr>
        <w:t>六、一般公共预算财政拨款基本支出决算情况说明</w:t>
      </w:r>
      <w:bookmarkEnd w:id="21"/>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天津市文学艺术界联合会2025年度一般公共预算财政拨款基本支出合计30,231,510.97元，与2024年度相比增加1,484,196.56元，主要原因是人员调整，人员经费增加。其中：</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人员经费26,514,843.33元，主要包括基本工资、津贴补贴、奖金、绩效工资、机关事业单位基本养老保险缴费、职业年金缴费、职工基本医疗保险缴费、公务员医疗补助缴费、其他社会保障缴费、住房公积金、其他工资福利支出、离休费、退休费、医疗费补助、奖励金。</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用经费3,716,667.64元，主要包括办公费、印刷费、手续费、水费、电费、邮电费、取暖费、物业管理费、差旅费、维修(护)费、租赁费、培训费、公务接待费、劳务费、委托业务费、工会经费、福利费、公务用车运行维护费、其他交通费用、税金及附加费用、其他商品和服务支出、办公设备购置。</w:t>
      </w:r>
    </w:p>
    <w:p>
      <w:pPr>
        <w:pStyle w:val="6"/>
        <w:spacing w:before="0" w:after="0" w:line="600" w:lineRule="exact"/>
        <w:ind w:firstLine="602" w:firstLineChars="200"/>
        <w:rPr>
          <w:rFonts w:hint="eastAsia" w:ascii="楷体" w:hAnsi="楷体" w:eastAsia="楷体" w:cs="方正仿宋_GB2312"/>
          <w:b w:val="0"/>
          <w:sz w:val="30"/>
          <w:szCs w:val="30"/>
          <w:highlight w:val="none"/>
        </w:rPr>
      </w:pPr>
      <w:bookmarkStart w:id="22" w:name="_Toc11228"/>
      <w:r>
        <w:rPr>
          <w:rFonts w:hint="eastAsia" w:ascii="黑体" w:hAnsi="黑体" w:eastAsia="黑体" w:cs="方正仿宋_GB2312"/>
          <w:bCs w:val="0"/>
          <w:sz w:val="30"/>
          <w:szCs w:val="30"/>
          <w:highlight w:val="none"/>
          <w:u w:val="none"/>
          <w:lang w:val="en-US" w:eastAsia="zh-CN"/>
        </w:rPr>
        <w:t>七、政府性基金预算财政拨款收支决算情况说明</w:t>
      </w:r>
      <w:bookmarkEnd w:id="22"/>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天津市文学艺术界联合会2025年度无政府性基金预算财政拨款收入、支出和结转结余。</w:t>
      </w:r>
    </w:p>
    <w:p>
      <w:pPr>
        <w:pStyle w:val="6"/>
        <w:spacing w:before="0" w:after="0" w:line="600" w:lineRule="exact"/>
        <w:ind w:firstLine="602" w:firstLineChars="200"/>
        <w:rPr>
          <w:rFonts w:hint="eastAsia" w:eastAsia="黑体"/>
          <w:b w:val="0"/>
          <w:sz w:val="30"/>
          <w:szCs w:val="30"/>
          <w:highlight w:val="none"/>
        </w:rPr>
      </w:pPr>
      <w:bookmarkStart w:id="23" w:name="_Toc2429"/>
      <w:r>
        <w:rPr>
          <w:rFonts w:hint="eastAsia" w:ascii="黑体" w:hAnsi="黑体" w:eastAsia="黑体" w:cs="方正仿宋_GB2312"/>
          <w:bCs w:val="0"/>
          <w:sz w:val="30"/>
          <w:szCs w:val="30"/>
          <w:highlight w:val="none"/>
          <w:u w:val="none"/>
          <w:lang w:val="en-US" w:eastAsia="zh-CN"/>
        </w:rPr>
        <w:t>八、国有资本经营预算财政拨款收支决算情况说明</w:t>
      </w:r>
      <w:bookmarkEnd w:id="23"/>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天津市文学艺术界联合会2025年度无国有资本经营预算财政拨款收入、支出和结转结余。</w:t>
      </w:r>
    </w:p>
    <w:p>
      <w:pPr>
        <w:pStyle w:val="6"/>
        <w:spacing w:before="0" w:after="0" w:line="600" w:lineRule="exact"/>
        <w:ind w:firstLine="602" w:firstLineChars="200"/>
        <w:rPr>
          <w:rFonts w:ascii="黑体" w:hAnsi="黑体" w:eastAsia="黑体"/>
          <w:b w:val="0"/>
          <w:sz w:val="30"/>
          <w:szCs w:val="30"/>
          <w:highlight w:val="none"/>
        </w:rPr>
      </w:pPr>
      <w:bookmarkStart w:id="24" w:name="_Toc22288"/>
      <w:r>
        <w:rPr>
          <w:rFonts w:hint="eastAsia" w:ascii="黑体" w:hAnsi="黑体" w:eastAsia="黑体" w:cs="方正仿宋_GB2312"/>
          <w:bCs w:val="0"/>
          <w:sz w:val="30"/>
          <w:szCs w:val="30"/>
          <w:highlight w:val="none"/>
          <w:u w:val="none"/>
          <w:lang w:val="en-US" w:eastAsia="zh-CN"/>
        </w:rPr>
        <w:t>九、财政拨款“三公”经费支出决算情况说明</w:t>
      </w:r>
      <w:bookmarkEnd w:id="24"/>
    </w:p>
    <w:p>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（一）总体情况</w:t>
      </w:r>
    </w:p>
    <w:p>
      <w:pPr>
        <w:spacing w:line="600" w:lineRule="exact"/>
        <w:ind w:firstLine="600"/>
        <w:rPr>
          <w:rFonts w:hint="default" w:eastAsia="仿宋_GB2312"/>
          <w:sz w:val="30"/>
          <w:szCs w:val="30"/>
          <w:highlight w:val="none"/>
          <w:lang w:val="en-US" w:eastAsia="zh-CN"/>
        </w:rPr>
      </w:pPr>
      <w:r>
        <w:rPr>
          <w:rFonts w:hint="eastAsia" w:eastAsia="仿宋_GB2312"/>
          <w:sz w:val="30"/>
          <w:szCs w:val="30"/>
          <w:highlight w:val="none"/>
          <w:lang w:val="en-US" w:eastAsia="zh-CN"/>
        </w:rPr>
        <w:t>2025年财政拨款“三公”经费预算6,000.00元，支出决算5,779.90元，与2025年预算相比减少220.10元，完成预算的96.33%；支出决算较上年减少7,220.10元，下降55.54%。决算数小于预算数的主要原因是厉行节约，严格预算执行，压减“三公”经费开支；决算数较上年减少的主要原因是厉行节约，合理安排“三公”经费，压减公务用车运维费支出以及公务接待费支出。</w:t>
      </w:r>
    </w:p>
    <w:p>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（二）具体情况</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因公出国（境）费预算0.00元，支出决算0.00元，与预算相比持平；支出决算较上年持平。决算数与预算数持平的主要原因是本年度未安排财政拨款因公出国（境）任务；决算数较上年持平的主要原因是本年度未用财政拨款经费列支因公出国（境）费。</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2025年本单位组织的出国团组0个，出国0人次。</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公务用车购置及运行维护费预算5,000.00元，支出决算5,000.00元，与预算相比持平，完成预算的100.00%；支出决算较上年减少7,200.00元，下降59.02%。决算数与预算数持平的主要原因是严格按照预算执行，合理安排公车使用；决算数较上年减少的主要原因是厉行节约，落实过紧日子要求，合理安排公车使用，压减公务用车运维费支出。其中：</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运行维护费预算5,000.00元，支出决算5,000.00元，与预算相比持平，完成预算的100.00%；支出决算较上年减少7,200.00元，下降59.02%。决算数与预算数持平的主要原因是严格按照预算执行，合理安排公车使用；决算数较上年减少的主要原因是厉行节约，落实过紧日子要求，合理安排公车使用，压减公务用车运维费支出。</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截至2025年12月31日，使用财政拨款开支运行维护费的公务用车保有量为2辆。</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购置费预算0.00元，支出决算0.00元，与预算相比持平；支出决算较上年持平。决算数与预算数持平的主要原因是本年度未用财政拨款经费列支公务用车购置费；决算数较上年持平的主要原因是本年度未用财政拨款经费列支公务用车购置费。</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2025年购置公务用车0辆。</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公务接待费预算1,000.00元，支出决算779.90元，与预算相比减少220.10元，完成预算的77.99%；支出决算较上年减少20.10元，下降2.51%。决算数小于预算数的主要原因是厉行节约，合理安排公务接待活动，压减公务接待费支出；决算数较上年减少的主要原因是落实过紧日子要求，合理安排公务接待活动，压减公务接待费支出。</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2025年本单位国内公务接待2批次，9人次；其中，外事接待0批次，0人次。</w:t>
      </w:r>
    </w:p>
    <w:p>
      <w:pPr>
        <w:pStyle w:val="6"/>
        <w:spacing w:before="0" w:after="0" w:line="600" w:lineRule="exact"/>
        <w:ind w:firstLine="602" w:firstLineChars="200"/>
        <w:rPr>
          <w:rFonts w:ascii="黑体" w:hAnsi="黑体" w:eastAsia="黑体"/>
          <w:b w:val="0"/>
          <w:sz w:val="30"/>
          <w:szCs w:val="30"/>
          <w:highlight w:val="none"/>
        </w:rPr>
      </w:pPr>
      <w:bookmarkStart w:id="25" w:name="_Toc30303"/>
      <w:r>
        <w:rPr>
          <w:rFonts w:hint="eastAsia" w:ascii="黑体" w:hAnsi="黑体" w:eastAsia="黑体" w:cs="方正仿宋_GB2312"/>
          <w:bCs w:val="0"/>
          <w:sz w:val="30"/>
          <w:szCs w:val="30"/>
          <w:highlight w:val="none"/>
          <w:u w:val="none"/>
          <w:lang w:val="en-US" w:eastAsia="zh-CN"/>
        </w:rPr>
        <w:t>十、机关运行经费支出情况说明</w:t>
      </w:r>
      <w:bookmarkEnd w:id="25"/>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机关运行经费是指行政单位和参照公务员法管理的事业单位使用财政拨款安排的基本支出中的日常公用经费支出，天津市文学艺术界联合会2025年度机关运行经费年初预算3,731,000.00元，决算数3,716,667.64元，与年初预算相比减少14,332.36元，完成年初预算的99.62%；比2024年减少18,232.36元，下降0.49%。主要原因是：落实过紧日子要求，压减公用经费。</w:t>
      </w:r>
    </w:p>
    <w:p>
      <w:pPr>
        <w:pStyle w:val="6"/>
        <w:spacing w:before="0" w:after="0" w:line="600" w:lineRule="exact"/>
        <w:ind w:firstLine="602" w:firstLineChars="200"/>
        <w:rPr>
          <w:rFonts w:hint="eastAsia" w:ascii="黑体" w:hAnsi="黑体" w:eastAsia="黑体" w:cs="方正仿宋_GB2312"/>
          <w:bCs w:val="0"/>
          <w:sz w:val="30"/>
          <w:szCs w:val="30"/>
          <w:highlight w:val="none"/>
          <w:u w:val="none"/>
          <w:lang w:val="en-US" w:eastAsia="zh-CN"/>
        </w:rPr>
      </w:pPr>
      <w:bookmarkStart w:id="26" w:name="_Toc3597"/>
      <w:r>
        <w:rPr>
          <w:rFonts w:hint="eastAsia" w:ascii="黑体" w:hAnsi="黑体" w:eastAsia="黑体" w:cs="方正仿宋_GB2312"/>
          <w:bCs w:val="0"/>
          <w:sz w:val="30"/>
          <w:szCs w:val="30"/>
          <w:highlight w:val="none"/>
          <w:u w:val="none"/>
          <w:lang w:val="en-US" w:eastAsia="zh-CN"/>
        </w:rPr>
        <w:t>十一、政府采购支出情况说明</w:t>
      </w:r>
      <w:bookmarkEnd w:id="26"/>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市文学艺术界联合会2025年政府采购支出总额1,111,939.60元，其中：政府采购货物支出126,622.00元、政府采购工程支出0.00元、政府采购服务支出985,317.60元。授予中小企业合同金额1,111,939.60元，占政府采购支出总额的100.00%，其中：授予小微企业合同金额1,002,207.60元，占政府采购支出总额的90.13%；货物采购授予中小企业合同金额占货物支出金额的100.00%，工程采购授予中小企业合同金额占工程支出金额的0.00%，服务采购授予中小企业合同金额占服务支出金额的100.00%。</w:t>
      </w:r>
    </w:p>
    <w:p>
      <w:pPr>
        <w:pStyle w:val="6"/>
        <w:spacing w:before="0" w:after="0" w:line="600" w:lineRule="exact"/>
        <w:ind w:firstLine="602" w:firstLineChars="200"/>
        <w:rPr>
          <w:rFonts w:hint="eastAsia" w:ascii="黑体" w:hAnsi="黑体" w:eastAsia="黑体"/>
          <w:b w:val="0"/>
          <w:sz w:val="30"/>
          <w:szCs w:val="30"/>
          <w:highlight w:val="none"/>
        </w:rPr>
      </w:pPr>
      <w:bookmarkStart w:id="27" w:name="_Toc32039"/>
      <w:r>
        <w:rPr>
          <w:rFonts w:hint="eastAsia" w:ascii="黑体" w:hAnsi="黑体" w:eastAsia="黑体" w:cs="方正仿宋_GB2312"/>
          <w:bCs w:val="0"/>
          <w:sz w:val="30"/>
          <w:szCs w:val="30"/>
          <w:highlight w:val="none"/>
          <w:u w:val="none"/>
          <w:lang w:val="en-US" w:eastAsia="zh-CN"/>
        </w:rPr>
        <w:t>十二、国有资产占有使用情况说明</w:t>
      </w:r>
      <w:bookmarkEnd w:id="27"/>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天津市文学艺术界联合会2025年度无国有资产占有使用情况。</w:t>
      </w:r>
    </w:p>
    <w:p>
      <w:pPr>
        <w:pStyle w:val="6"/>
        <w:spacing w:before="0" w:after="0" w:line="600" w:lineRule="exact"/>
        <w:ind w:firstLine="602" w:firstLineChars="200"/>
        <w:rPr>
          <w:rFonts w:hint="eastAsia" w:ascii="黑体" w:hAnsi="黑体" w:eastAsia="黑体" w:cs="方正仿宋_GB2312"/>
          <w:b/>
          <w:bCs w:val="0"/>
          <w:sz w:val="30"/>
          <w:szCs w:val="30"/>
          <w:highlight w:val="none"/>
          <w:u w:val="none"/>
          <w:lang w:val="en-US" w:eastAsia="zh-CN"/>
        </w:rPr>
      </w:pPr>
      <w:bookmarkStart w:id="28" w:name="_Toc2201"/>
      <w:r>
        <w:rPr>
          <w:rFonts w:hint="eastAsia" w:ascii="黑体" w:hAnsi="黑体" w:eastAsia="黑体" w:cs="方正仿宋_GB2312"/>
          <w:b/>
          <w:bCs w:val="0"/>
          <w:sz w:val="30"/>
          <w:szCs w:val="30"/>
          <w:highlight w:val="none"/>
          <w:u w:val="none"/>
          <w:lang w:val="en-US" w:eastAsia="zh-CN"/>
        </w:rPr>
        <w:t>十三、预算绩效情况说明</w:t>
      </w:r>
      <w:bookmarkEnd w:id="28"/>
    </w:p>
    <w:p>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根据预算绩效管理要求，天津市文学艺术界联合会已对6个2025年度市级项目开展绩效自评，涉及金额1,233,486.98元，自评结果已随部门决算一并公开。</w:t>
      </w:r>
    </w:p>
    <w:p>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天津市文学艺术界联合会2025年度未开展部门评价。</w:t>
      </w:r>
    </w:p>
    <w:p>
      <w:pPr>
        <w:pStyle w:val="6"/>
        <w:spacing w:before="0" w:after="0" w:line="600" w:lineRule="exact"/>
        <w:ind w:firstLine="602" w:firstLineChars="200"/>
        <w:rPr>
          <w:rFonts w:ascii="Times New Roman" w:hAnsi="Times New Roman" w:eastAsia="黑体"/>
          <w:b w:val="0"/>
          <w:sz w:val="30"/>
          <w:szCs w:val="30"/>
          <w:highlight w:val="none"/>
        </w:rPr>
      </w:pPr>
      <w:bookmarkStart w:id="29" w:name="_Toc10864"/>
      <w:r>
        <w:rPr>
          <w:rFonts w:hint="eastAsia" w:ascii="黑体" w:hAnsi="黑体" w:eastAsia="黑体" w:cs="方正仿宋_GB2312"/>
          <w:bCs w:val="0"/>
          <w:sz w:val="30"/>
          <w:szCs w:val="30"/>
          <w:highlight w:val="none"/>
          <w:u w:val="none"/>
          <w:lang w:val="en-US" w:eastAsia="zh-CN"/>
        </w:rPr>
        <w:t>十四、教育、医疗卫生、社会保障和就业、住房保障、涉农补贴等民生支出情况说明</w:t>
      </w:r>
      <w:bookmarkEnd w:id="29"/>
    </w:p>
    <w:p>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天津市文学艺术界联合会不属于乡、镇、街级单位，不涉及公开2025年度教育、医疗卫生、社会保障和就业、住房保障、涉农补贴等民生支出情况。</w:t>
      </w:r>
    </w:p>
    <w:p>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r>
        <w:rPr>
          <w:rFonts w:hint="eastAsia" w:ascii="方正小标宋简体" w:hAnsi="方正小标宋简体" w:eastAsia="方正小标宋简体" w:cs="方正小标宋简体"/>
          <w:b w:val="0"/>
          <w:sz w:val="48"/>
          <w:szCs w:val="48"/>
          <w:highlight w:val="none"/>
        </w:rPr>
        <w:br w:type="page"/>
      </w:r>
    </w:p>
    <w:p>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30" w:name="_Toc19733"/>
      <w:r>
        <w:rPr>
          <w:rFonts w:hint="eastAsia" w:ascii="方正小标宋简体" w:hAnsi="方正小标宋简体" w:eastAsia="方正小标宋简体" w:cs="方正小标宋简体"/>
          <w:b w:val="0"/>
          <w:lang w:val="en-US" w:eastAsia="zh-CN"/>
        </w:rPr>
        <w:t>第四部分  名词解释</w:t>
      </w:r>
      <w:bookmarkEnd w:id="30"/>
    </w:p>
    <w:p>
      <w:pPr>
        <w:pStyle w:val="5"/>
        <w:spacing w:before="0" w:after="0" w:line="600" w:lineRule="exact"/>
        <w:jc w:val="center"/>
        <w:rPr>
          <w:rFonts w:hint="eastAsia" w:ascii="方正小标宋简体" w:hAnsi="方正小标宋简体" w:eastAsia="方正小标宋简体" w:cs="方正小标宋简体"/>
          <w:b w:val="0"/>
          <w:sz w:val="44"/>
          <w:szCs w:val="44"/>
          <w:highlight w:val="none"/>
        </w:rPr>
      </w:pP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 </w:t>
      </w:r>
    </w:p>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楷体_GB2312">
    <w:altName w:val="方正楷体_GBK"/>
    <w:panose1 w:val="02000000000000000000"/>
    <w:charset w:val="86"/>
    <w:family w:val="auto"/>
    <w:pitch w:val="default"/>
    <w:sig w:usb0="00000000" w:usb1="00000000" w:usb2="00000012" w:usb3="00000000" w:csb0="00040001" w:csb1="00000000"/>
  </w:font>
  <w:font w:name="方正楷体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楷体">
    <w:altName w:val="方正楷体_GBK"/>
    <w:panose1 w:val="02010609060101010101"/>
    <w:charset w:val="86"/>
    <w:family w:val="decorative"/>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7"/>
                          </w:pPr>
                          <w:r>
                            <w:fldChar w:fldCharType="begin"/>
                          </w:r>
                          <w:r>
                            <w:instrText xml:space="preserve"> PAGE  \* MERGEFORMAT </w:instrText>
                          </w:r>
                          <w:r>
                            <w:fldChar w:fldCharType="separate"/>
                          </w:r>
                          <w:r>
                            <w:t>4</w:t>
                          </w:r>
                          <w:r>
                            <w:fldChar w:fldCharType="end"/>
                          </w:r>
                        </w:p>
                      </w:txbxContent>
                    </wps:txbx>
                    <wps:bodyPr wrap="none" lIns="0" tIns="0" rIns="0" bIns="0" upright="1">
                      <a:spAutoFit/>
                    </wps:bodyPr>
                  </wps:wsp>
                </a:graphicData>
              </a:graphic>
            </wp:anchor>
          </w:drawing>
        </mc:Choice>
        <mc:Fallback>
          <w:pict>
            <v:shape id="文本框 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aGmCS9MAAAAF&#10;AQAADwAAAAAAAAABACAAAAA4AAAAZHJzL2Rvd25yZXYueG1sUEsBAhQAFAAAAAgAh07iQIqPUSbS&#10;AQAApAMAAA4AAAAAAAAAAQAgAAAAOAEAAGRycy9lMm9Eb2MueG1sUEsFBgAAAAAGAAYAWQEAAHwF&#10;AAAAAA==&#10;">
              <v:fill on="f" focussize="0,0"/>
              <v:stroke on="f" weight="1.25pt"/>
              <v:imagedata o:title=""/>
              <o:lock v:ext="edit" aspectratio="f"/>
              <v:textbox inset="0mm,0mm,0mm,0mm" style="mso-fit-shape-to-text:t;">
                <w:txbxContent>
                  <w:p>
                    <w:pPr>
                      <w:pStyle w:val="17"/>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7"/>
                          </w:pPr>
                          <w:r>
                            <w:fldChar w:fldCharType="begin"/>
                          </w:r>
                          <w:r>
                            <w:instrText xml:space="preserve"> PAGE  \* MERGEFORMAT </w:instrText>
                          </w:r>
                          <w:r>
                            <w:fldChar w:fldCharType="separate"/>
                          </w:r>
                          <w:r>
                            <w:t>9</w:t>
                          </w:r>
                          <w:r>
                            <w:fldChar w:fldCharType="end"/>
                          </w:r>
                        </w:p>
                      </w:txbxContent>
                    </wps:txbx>
                    <wps:bodyPr wrap="none" lIns="0" tIns="0" rIns="0" bIns="0" upright="1">
                      <a:spAutoFit/>
                    </wps:bodyPr>
                  </wps:wsp>
                </a:graphicData>
              </a:graphic>
            </wp:anchor>
          </w:drawing>
        </mc:Choice>
        <mc:Fallback>
          <w:pict>
            <v:shape id="文本框 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aGmCS9MAAAAF&#10;AQAADwAAAAAAAAABACAAAAA4AAAAZHJzL2Rvd25yZXYueG1sUEsBAhQAFAAAAAgAh07iQG52i4zS&#10;AQAApAMAAA4AAAAAAAAAAQAgAAAAOAEAAGRycy9lMm9Eb2MueG1sUEsFBgAAAAAGAAYAWQEAAHwF&#10;AAAAAA==&#10;">
              <v:fill on="f" focussize="0,0"/>
              <v:stroke on="f" weight="1.25pt"/>
              <v:imagedata o:title=""/>
              <o:lock v:ext="edit" aspectratio="f"/>
              <v:textbox inset="0mm,0mm,0mm,0mm" style="mso-fit-shape-to-text:t;">
                <w:txbxContent>
                  <w:p>
                    <w:pPr>
                      <w:pStyle w:val="17"/>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7"/>
                          </w:pPr>
                          <w:r>
                            <w:fldChar w:fldCharType="begin"/>
                          </w:r>
                          <w:r>
                            <w:instrText xml:space="preserve"> PAGE  \* MERGEFORMAT </w:instrText>
                          </w:r>
                          <w:r>
                            <w:fldChar w:fldCharType="separate"/>
                          </w:r>
                          <w:r>
                            <w:t>23</w:t>
                          </w:r>
                          <w:r>
                            <w:fldChar w:fldCharType="end"/>
                          </w:r>
                        </w:p>
                      </w:txbxContent>
                    </wps:txbx>
                    <wps:bodyPr wrap="none" lIns="0" tIns="0" rIns="0" bIns="0" upright="1">
                      <a:spAutoFit/>
                    </wps:bodyPr>
                  </wps:wsp>
                </a:graphicData>
              </a:graphic>
            </wp:anchor>
          </w:drawing>
        </mc:Choice>
        <mc:Fallback>
          <w:pict>
            <v:shape id="文本框 2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BYAAABkcnMvUEsBAhQAFAAAAAgAh07iQGhpgkvTAAAA&#10;BQEAAA8AAAAAAAAAAQAgAAAAOAAAAGRycy9kb3ducmV2LnhtbFBLAQIUABQAAAAIAIdO4kBkOTQH&#10;0wEAAKQDAAAOAAAAAAAAAAEAIAAAADgBAABkcnMvZTJvRG9jLnhtbFBLBQYAAAAABgAGAFkBAAB9&#10;BQAAAAA=&#10;">
              <v:fill on="f" focussize="0,0"/>
              <v:stroke on="f" weight="1.25pt"/>
              <v:imagedata o:title=""/>
              <o:lock v:ext="edit" aspectratio="f"/>
              <v:textbox inset="0mm,0mm,0mm,0mm" style="mso-fit-shape-to-text:t;">
                <w:txbxContent>
                  <w:p>
                    <w:pPr>
                      <w:pStyle w:val="17"/>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7"/>
                          </w:pPr>
                          <w:r>
                            <w:fldChar w:fldCharType="begin"/>
                          </w:r>
                          <w:r>
                            <w:instrText xml:space="preserve"> PAGE  \* MERGEFORMAT </w:instrText>
                          </w:r>
                          <w:r>
                            <w:fldChar w:fldCharType="separate"/>
                          </w:r>
                          <w:r>
                            <w:t>33</w:t>
                          </w:r>
                          <w:r>
                            <w:fldChar w:fldCharType="end"/>
                          </w:r>
                        </w:p>
                      </w:txbxContent>
                    </wps:txbx>
                    <wps:bodyPr wrap="none" lIns="0" tIns="0" rIns="0" bIns="0" upright="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aGmCS9MAAAAF&#10;AQAADwAAAAAAAAABACAAAAA4AAAAZHJzL2Rvd25yZXYueG1sUEsBAhQAFAAAAAgAh07iQDRq/3fS&#10;AQAAowMAAA4AAAAAAAAAAQAgAAAAOAEAAGRycy9lMm9Eb2MueG1sUEsFBgAAAAAGAAYAWQEAAHwF&#10;AAAAAA==&#10;">
              <v:fill on="f" focussize="0,0"/>
              <v:stroke on="f" weight="1.25pt"/>
              <v:imagedata o:title=""/>
              <o:lock v:ext="edit" aspectratio="f"/>
              <v:textbox inset="0mm,0mm,0mm,0mm" style="mso-fit-shape-to-text:t;">
                <w:txbxContent>
                  <w:p>
                    <w:pPr>
                      <w:pStyle w:val="1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5"/>
  <w:embedTrueTypeFonts/>
  <w:bordersDoNotSurroundHeader w:val="0"/>
  <w:bordersDoNotSurroundFooter w:val="0"/>
  <w:doNotTrackMoves/>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0ZDdjZmNhMDU3OGRjODI0Y2FhODMxNDQzMzM1NjMifQ=="/>
  </w:docVars>
  <w:rsids>
    <w:rsidRoot w:val="00000000"/>
    <w:rsid w:val="5FFF864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0"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4">
    <w:name w:val="Default Paragraph Font"/>
    <w:unhideWhenUsed/>
    <w:qFormat/>
    <w:uiPriority w:val="0"/>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5">
    <w:name w:val="标题 11"/>
    <w:basedOn w:val="1"/>
    <w:next w:val="1"/>
    <w:link w:val="9"/>
    <w:qFormat/>
    <w:uiPriority w:val="9"/>
    <w:pPr>
      <w:keepNext/>
      <w:keepLines/>
      <w:spacing w:before="340" w:after="330" w:line="578" w:lineRule="atLeast"/>
      <w:outlineLvl w:val="0"/>
    </w:pPr>
    <w:rPr>
      <w:b/>
      <w:bCs/>
      <w:kern w:val="44"/>
      <w:sz w:val="44"/>
      <w:szCs w:val="44"/>
    </w:rPr>
  </w:style>
  <w:style w:type="paragraph" w:customStyle="1" w:styleId="6">
    <w:name w:val="标题 21"/>
    <w:basedOn w:val="1"/>
    <w:next w:val="1"/>
    <w:link w:val="10"/>
    <w:unhideWhenUsed/>
    <w:qFormat/>
    <w:uiPriority w:val="9"/>
    <w:pPr>
      <w:keepNext/>
      <w:keepLines/>
      <w:spacing w:before="260" w:after="260" w:line="416" w:lineRule="atLeast"/>
      <w:outlineLvl w:val="1"/>
    </w:pPr>
    <w:rPr>
      <w:rFonts w:ascii="Cambria" w:hAnsi="Cambria" w:eastAsia="宋体" w:cs="Times New Roman"/>
      <w:b/>
      <w:bCs/>
      <w:sz w:val="32"/>
      <w:szCs w:val="32"/>
    </w:rPr>
  </w:style>
  <w:style w:type="paragraph" w:customStyle="1" w:styleId="7">
    <w:name w:val="标题 31"/>
    <w:basedOn w:val="1"/>
    <w:next w:val="1"/>
    <w:link w:val="11"/>
    <w:unhideWhenUsed/>
    <w:qFormat/>
    <w:uiPriority w:val="9"/>
    <w:pPr>
      <w:keepNext/>
      <w:keepLines/>
      <w:spacing w:before="260" w:after="260" w:line="416" w:lineRule="atLeast"/>
      <w:outlineLvl w:val="2"/>
    </w:pPr>
    <w:rPr>
      <w:b/>
      <w:bCs/>
      <w:sz w:val="32"/>
      <w:szCs w:val="32"/>
    </w:rPr>
  </w:style>
  <w:style w:type="table" w:customStyle="1" w:styleId="8">
    <w:name w:val="普通表格11"/>
    <w:unhideWhenUsed/>
    <w:qFormat/>
    <w:uiPriority w:val="99"/>
    <w:tblPr>
      <w:tblCellMar>
        <w:top w:w="0" w:type="dxa"/>
        <w:left w:w="108" w:type="dxa"/>
        <w:bottom w:w="0" w:type="dxa"/>
        <w:right w:w="108" w:type="dxa"/>
      </w:tblCellMar>
    </w:tblPr>
  </w:style>
  <w:style w:type="character" w:customStyle="1" w:styleId="9">
    <w:name w:val="标题 1 Char"/>
    <w:link w:val="5"/>
    <w:qFormat/>
    <w:uiPriority w:val="9"/>
    <w:rPr>
      <w:b/>
      <w:bCs/>
      <w:kern w:val="44"/>
      <w:sz w:val="44"/>
      <w:szCs w:val="44"/>
    </w:rPr>
  </w:style>
  <w:style w:type="character" w:customStyle="1" w:styleId="10">
    <w:name w:val="标题 2 Char"/>
    <w:link w:val="6"/>
    <w:semiHidden/>
    <w:qFormat/>
    <w:uiPriority w:val="9"/>
    <w:rPr>
      <w:rFonts w:ascii="Cambria" w:hAnsi="Cambria" w:eastAsia="宋体" w:cs="Times New Roman"/>
      <w:b/>
      <w:bCs/>
      <w:sz w:val="32"/>
      <w:szCs w:val="32"/>
    </w:rPr>
  </w:style>
  <w:style w:type="character" w:customStyle="1" w:styleId="11">
    <w:name w:val="标题 3 Char"/>
    <w:link w:val="7"/>
    <w:semiHidden/>
    <w:qFormat/>
    <w:uiPriority w:val="9"/>
    <w:rPr>
      <w:b/>
      <w:bCs/>
      <w:sz w:val="32"/>
      <w:szCs w:val="32"/>
    </w:rPr>
  </w:style>
  <w:style w:type="paragraph" w:customStyle="1" w:styleId="12">
    <w:name w:val="正文文本缩进1"/>
    <w:basedOn w:val="1"/>
    <w:next w:val="13"/>
    <w:unhideWhenUsed/>
    <w:qFormat/>
    <w:uiPriority w:val="99"/>
    <w:pPr>
      <w:spacing w:after="120"/>
      <w:ind w:left="420" w:leftChars="200"/>
      <w:jc w:val="left"/>
    </w:pPr>
    <w:rPr>
      <w:rFonts w:ascii="宋体" w:hAnsi="宋体" w:cs="宋体"/>
      <w:kern w:val="0"/>
      <w:sz w:val="24"/>
      <w:lang w:val="en-US" w:eastAsia="zh-CN"/>
    </w:rPr>
  </w:style>
  <w:style w:type="paragraph" w:customStyle="1" w:styleId="13">
    <w:name w:val="正文首行缩进 21"/>
    <w:basedOn w:val="12"/>
    <w:next w:val="1"/>
    <w:unhideWhenUsed/>
    <w:qFormat/>
    <w:uiPriority w:val="99"/>
    <w:pPr>
      <w:ind w:left="420" w:firstLine="420" w:firstLineChars="200"/>
      <w:jc w:val="left"/>
    </w:pPr>
    <w:rPr>
      <w:lang w:val="en-US" w:eastAsia="zh-CN"/>
    </w:rPr>
  </w:style>
  <w:style w:type="paragraph" w:customStyle="1" w:styleId="14">
    <w:name w:val="目录 31"/>
    <w:basedOn w:val="1"/>
    <w:next w:val="1"/>
    <w:unhideWhenUsed/>
    <w:qFormat/>
    <w:uiPriority w:val="39"/>
    <w:pPr>
      <w:widowControl/>
      <w:adjustRightInd/>
      <w:spacing w:after="100" w:line="276" w:lineRule="auto"/>
      <w:ind w:left="440"/>
      <w:textAlignment w:val="auto"/>
    </w:pPr>
    <w:rPr>
      <w:rFonts w:ascii="Calibri" w:hAnsi="Calibri" w:eastAsia="宋体" w:cs="Times New Roman"/>
      <w:sz w:val="22"/>
      <w:szCs w:val="22"/>
    </w:rPr>
  </w:style>
  <w:style w:type="paragraph" w:customStyle="1" w:styleId="15">
    <w:name w:val="批注框文本1"/>
    <w:basedOn w:val="1"/>
    <w:link w:val="16"/>
    <w:unhideWhenUsed/>
    <w:uiPriority w:val="99"/>
    <w:pPr>
      <w:spacing w:line="240" w:lineRule="auto"/>
    </w:pPr>
    <w:rPr>
      <w:sz w:val="18"/>
      <w:szCs w:val="18"/>
    </w:rPr>
  </w:style>
  <w:style w:type="character" w:customStyle="1" w:styleId="16">
    <w:name w:val="批注框文本 Char"/>
    <w:link w:val="15"/>
    <w:semiHidden/>
    <w:uiPriority w:val="99"/>
    <w:rPr>
      <w:sz w:val="18"/>
      <w:szCs w:val="18"/>
    </w:rPr>
  </w:style>
  <w:style w:type="paragraph" w:customStyle="1" w:styleId="17">
    <w:name w:val="页脚1"/>
    <w:basedOn w:val="1"/>
    <w:link w:val="18"/>
    <w:unhideWhenUsed/>
    <w:qFormat/>
    <w:uiPriority w:val="0"/>
    <w:pPr>
      <w:tabs>
        <w:tab w:val="center" w:pos="4153"/>
        <w:tab w:val="right" w:pos="8306"/>
      </w:tabs>
      <w:snapToGrid w:val="0"/>
      <w:spacing w:line="240" w:lineRule="atLeast"/>
    </w:pPr>
    <w:rPr>
      <w:sz w:val="18"/>
      <w:szCs w:val="18"/>
    </w:rPr>
  </w:style>
  <w:style w:type="character" w:customStyle="1" w:styleId="18">
    <w:name w:val="页脚 Char"/>
    <w:link w:val="17"/>
    <w:semiHidden/>
    <w:uiPriority w:val="0"/>
    <w:rPr>
      <w:sz w:val="18"/>
      <w:szCs w:val="18"/>
    </w:rPr>
  </w:style>
  <w:style w:type="paragraph" w:customStyle="1" w:styleId="19">
    <w:name w:val="页眉1"/>
    <w:basedOn w:val="1"/>
    <w:link w:val="20"/>
    <w:unhideWhenUsed/>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20">
    <w:name w:val="页眉 Char"/>
    <w:link w:val="19"/>
    <w:semiHidden/>
    <w:qFormat/>
    <w:uiPriority w:val="0"/>
    <w:rPr>
      <w:sz w:val="18"/>
      <w:szCs w:val="18"/>
    </w:rPr>
  </w:style>
  <w:style w:type="paragraph" w:customStyle="1" w:styleId="21">
    <w:name w:val="目录 11"/>
    <w:basedOn w:val="1"/>
    <w:next w:val="1"/>
    <w:unhideWhenUsed/>
    <w:qFormat/>
    <w:uiPriority w:val="39"/>
    <w:pPr>
      <w:widowControl/>
      <w:tabs>
        <w:tab w:val="right" w:leader="dot" w:pos="8296"/>
      </w:tabs>
      <w:adjustRightInd/>
      <w:spacing w:after="100" w:line="276" w:lineRule="auto"/>
      <w:textAlignment w:val="auto"/>
    </w:pPr>
    <w:rPr>
      <w:rFonts w:ascii="黑体" w:hAnsi="黑体" w:eastAsia="黑体" w:cs="方正小标宋简体"/>
      <w:sz w:val="22"/>
      <w:szCs w:val="22"/>
    </w:rPr>
  </w:style>
  <w:style w:type="paragraph" w:customStyle="1" w:styleId="22">
    <w:name w:val="脚注文本1"/>
    <w:basedOn w:val="1"/>
    <w:next w:val="13"/>
    <w:semiHidden/>
    <w:qFormat/>
    <w:uiPriority w:val="0"/>
    <w:pPr>
      <w:snapToGrid w:val="0"/>
      <w:jc w:val="left"/>
    </w:pPr>
    <w:rPr>
      <w:sz w:val="18"/>
      <w:szCs w:val="18"/>
      <w:lang w:val="en-US" w:eastAsia="zh-CN"/>
    </w:rPr>
  </w:style>
  <w:style w:type="paragraph" w:customStyle="1" w:styleId="23">
    <w:name w:val="目录 21"/>
    <w:basedOn w:val="1"/>
    <w:next w:val="1"/>
    <w:unhideWhenUsed/>
    <w:qFormat/>
    <w:uiPriority w:val="39"/>
    <w:pPr>
      <w:widowControl/>
      <w:adjustRightInd/>
      <w:spacing w:after="100" w:line="276" w:lineRule="auto"/>
      <w:ind w:left="220"/>
      <w:textAlignment w:val="auto"/>
    </w:pPr>
    <w:rPr>
      <w:rFonts w:ascii="Calibri" w:hAnsi="Calibri" w:eastAsia="宋体" w:cs="Times New Roman"/>
      <w:sz w:val="22"/>
      <w:szCs w:val="22"/>
    </w:rPr>
  </w:style>
  <w:style w:type="paragraph" w:customStyle="1" w:styleId="24">
    <w:name w:val="普通(网站)1"/>
    <w:basedOn w:val="1"/>
    <w:unhideWhenUsed/>
    <w:qFormat/>
    <w:uiPriority w:val="99"/>
    <w:rPr>
      <w:sz w:val="24"/>
    </w:rPr>
  </w:style>
  <w:style w:type="character" w:customStyle="1" w:styleId="25">
    <w:name w:val="超链接1"/>
    <w:unhideWhenUsed/>
    <w:uiPriority w:val="99"/>
    <w:rPr>
      <w:color w:val="0000FF"/>
      <w:u w:val="single"/>
    </w:rPr>
  </w:style>
  <w:style w:type="paragraph" w:customStyle="1" w:styleId="26">
    <w:name w:val="TOC 标题"/>
    <w:basedOn w:val="5"/>
    <w:next w:val="1"/>
    <w:unhideWhenUsed/>
    <w:qFormat/>
    <w:uiPriority w:val="39"/>
    <w:pPr>
      <w:widowControl/>
      <w:adjustRightInd/>
      <w:spacing w:before="480" w:after="0" w:line="276" w:lineRule="auto"/>
      <w:textAlignment w:val="auto"/>
      <w:outlineLvl w:val="9"/>
    </w:pPr>
    <w:rPr>
      <w:rFonts w:ascii="Cambria" w:hAnsi="Cambria" w:eastAsia="宋体" w:cs="Times New Roman"/>
      <w:color w:val="365F91"/>
      <w:kern w:val="0"/>
      <w:sz w:val="28"/>
      <w:szCs w:val="28"/>
    </w:rPr>
  </w:style>
  <w:style w:type="character" w:customStyle="1" w:styleId="27">
    <w:name w:val="font41"/>
    <w:basedOn w:val="4"/>
    <w:qFormat/>
    <w:uiPriority w:val="0"/>
    <w:rPr>
      <w:rFonts w:hint="eastAsia" w:ascii="宋体" w:hAnsi="宋体" w:eastAsia="宋体" w:cs="宋体"/>
      <w:color w:val="000000"/>
      <w:sz w:val="20"/>
      <w:szCs w:val="20"/>
      <w:u w:val="none"/>
    </w:rPr>
  </w:style>
  <w:style w:type="character" w:customStyle="1" w:styleId="28">
    <w:name w:val="font11"/>
    <w:basedOn w:val="4"/>
    <w:qFormat/>
    <w:uiPriority w:val="0"/>
    <w:rPr>
      <w:rFonts w:hint="eastAsia" w:ascii="宋体" w:hAnsi="宋体" w:eastAsia="宋体" w:cs="宋体"/>
      <w:color w:val="000000"/>
      <w:sz w:val="22"/>
      <w:szCs w:val="22"/>
      <w:u w:val="none"/>
    </w:rPr>
  </w:style>
  <w:style w:type="table" w:customStyle="1" w:styleId="29">
    <w:name w:val="普通表格1"/>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2052-12.1.0.28043</vt:lpwstr>
  </property>
  <property xmlns="http://schemas.openxmlformats.org/officeDocument/2006/custom-properties" fmtid="{D5CDD505-2E9C-101B-9397-08002B2CF9AE}" name="ICV" pid="3">
    <vt:lpwstr xmlns:vt="http://schemas.openxmlformats.org/officeDocument/2006/docPropsVTypes">A5A403E1C15441A0A57FA6556FC3E287_13</vt:lpwstr>
  </property>
  <property xmlns="http://schemas.openxmlformats.org/officeDocument/2006/custom-properties" fmtid="{D5CDD505-2E9C-101B-9397-08002B2CF9AE}" name="KSOTemplateDocerSaveRecord" pid="4">
    <vt:lpwstr xmlns:vt="http://schemas.openxmlformats.org/officeDocument/2006/docPropsVTypes">eyJoZGlkIjoiMGMwOGFkMDkyMGVjOWVjMzc0YjBmOTUwNDI2MGMxYmMiLCJ1c2VySWQiOiI4ODc2NjQ3MTcifQ_x003D__x003D_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ba711d-b328-4eb0-bfb0-98745d2c6453}">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36</Pages>
  <Words>3265</Words>
  <Characters>18738</Characters>
  <Lines>60</Lines>
  <Paragraphs>16</Paragraphs>
  <TotalTime>2</TotalTime>
  <ScaleCrop>false</ScaleCrop>
  <LinksUpToDate>false</LinksUpToDate>
  <CharactersWithSpaces>19174</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2019-07-28T02:37:00Z</dcterms:created>
  <dc:creator>Administrator</dc:creator>
  <cp:lastModifiedBy>wh</cp:lastModifiedBy>
  <cp:lastPrinted>2025-06-25T15:52:00Z</cp:lastPrinted>
  <dcterms:modified xsi:type="dcterms:W3CDTF">2026-08-24T14:49:02Z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492986E40B12A1F55EE98B6AD05C0872</vt:lpwstr>
  </property>
  <property fmtid="{D5CDD505-2E9C-101B-9397-08002B2CF9AE}" pid="4" name="KSOTemplateDocerSaveRecord">
    <vt:lpwstr>eyJoZGlkIjoiMGMwOGFkMDkyMGVjOWVjMzc0YjBmOTUwNDI2MGMxYmMiLCJ1c2VySWQiOiI4ODc2NjQ3MTcifQ_x003D__x003D_</vt:lpwstr>
  </property>
</Properties>
</file>