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rPr>
      </w:pPr>
    </w:p>
    <w:p>
      <w:pPr>
        <w:jc w:val="center"/>
        <w:rPr>
          <w:rFonts w:ascii="方正小标宋_GBK" w:hAnsi="方正小标宋_GBK" w:eastAsia="方正小标宋_GBK" w:cs="方正小标宋_GBK"/>
          <w:sz w:val="52"/>
        </w:rPr>
      </w:pPr>
    </w:p>
    <w:p>
      <w:pPr>
        <w:jc w:val="center"/>
        <w:rPr>
          <w:rFonts w:ascii="方正小标宋_GBK" w:hAnsi="方正小标宋_GBK" w:eastAsia="方正小标宋_GBK" w:cs="方正小标宋_GBK"/>
          <w:sz w:val="52"/>
        </w:rPr>
      </w:pPr>
    </w:p>
    <w:p>
      <w:pPr>
        <w:jc w:val="center"/>
      </w:pPr>
      <w:r>
        <w:rPr>
          <w:rFonts w:ascii="方正小标宋_GBK" w:hAnsi="方正小标宋_GBK" w:eastAsia="方正小标宋_GBK" w:cs="方正小标宋_GBK"/>
          <w:sz w:val="52"/>
        </w:rPr>
        <w:t xml:space="preserve"> </w:t>
      </w:r>
    </w:p>
    <w:p>
      <w:pPr>
        <w:jc w:val="center"/>
      </w:pPr>
      <w:r>
        <w:rPr>
          <w:rFonts w:ascii="方正小标宋_GBK" w:hAnsi="方正小标宋_GBK" w:eastAsia="方正小标宋_GBK" w:cs="方正小标宋_GBK"/>
          <w:sz w:val="52"/>
        </w:rPr>
        <w:t xml:space="preserve"> </w:t>
      </w:r>
    </w:p>
    <w:p>
      <w:pPr>
        <w:jc w:val="center"/>
      </w:pPr>
      <w:r>
        <w:rPr>
          <w:rFonts w:ascii="方正小标宋_GBK" w:hAnsi="方正小标宋_GBK" w:eastAsia="方正小标宋_GBK" w:cs="方正小标宋_GBK"/>
          <w:sz w:val="52"/>
        </w:rPr>
        <w:t xml:space="preserve"> </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天津市文学艺术界联合会</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w:t>
      </w:r>
      <w:r>
        <w:rPr>
          <w:rFonts w:ascii="方正小标宋简体" w:hAnsi="方正小标宋_GBK" w:eastAsia="方正小标宋简体" w:cs="方正小标宋_GBK"/>
          <w:color w:val="000000"/>
          <w:sz w:val="48"/>
          <w:lang w:eastAsia="zh-CN"/>
        </w:rPr>
        <w:t>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rPr>
        <w:t>）</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pPr>
      <w:bookmarkStart w:id="5" w:name="_GoBack"/>
      <w:bookmarkEnd w:id="5"/>
      <w:r>
        <w:rPr>
          <w:rFonts w:ascii="方正仿宋_GBK" w:hAnsi="方正仿宋_GBK" w:eastAsia="方正仿宋_GBK" w:cs="方正仿宋_GBK"/>
          <w:sz w:val="28"/>
        </w:rPr>
        <w:t xml:space="preserve"> </w:t>
      </w:r>
    </w:p>
    <w:p>
      <w:pPr>
        <w:ind w:firstLine="560"/>
        <w:outlineLvl w:val="3"/>
      </w:pPr>
      <w:bookmarkStart w:id="0" w:name="_Toc_4_4_0000000004"/>
      <w:r>
        <w:rPr>
          <w:rFonts w:ascii="方正仿宋_GBK" w:hAnsi="方正仿宋_GBK" w:eastAsia="方正仿宋_GBK" w:cs="方正仿宋_GBK"/>
          <w:sz w:val="28"/>
        </w:rPr>
        <w:t>1.2024年天津相声节绩效目标表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566301天津市文学艺术界联合会</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2024年天津相声节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843" w:type="dxa"/>
            <w:vAlign w:val="center"/>
          </w:tcPr>
          <w:p>
            <w:pPr>
              <w:pStyle w:val="13"/>
            </w:pPr>
            <w:r>
              <w:t>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用于保障相声活动顺利进行。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1.通过相声节，弘扬传播传统文化，打造津派相声品牌，推出更多优秀相声作品和中青年相声人才</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新创作品数量</w:t>
            </w:r>
          </w:p>
        </w:tc>
        <w:tc>
          <w:tcPr>
            <w:tcW w:w="3430" w:type="dxa"/>
            <w:vAlign w:val="center"/>
          </w:tcPr>
          <w:p>
            <w:pPr>
              <w:pStyle w:val="13"/>
            </w:pPr>
            <w:r>
              <w:t>新创作品数量</w:t>
            </w:r>
          </w:p>
        </w:tc>
        <w:tc>
          <w:tcPr>
            <w:tcW w:w="2551" w:type="dxa"/>
            <w:vAlign w:val="center"/>
          </w:tcPr>
          <w:p>
            <w:pPr>
              <w:pStyle w:val="13"/>
            </w:pPr>
            <w:r>
              <w:t>≥7段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完成演出场次</w:t>
            </w:r>
          </w:p>
        </w:tc>
        <w:tc>
          <w:tcPr>
            <w:tcW w:w="3430" w:type="dxa"/>
            <w:vAlign w:val="center"/>
          </w:tcPr>
          <w:p>
            <w:pPr>
              <w:pStyle w:val="13"/>
            </w:pPr>
            <w:r>
              <w:t>完成演出场次</w:t>
            </w:r>
          </w:p>
        </w:tc>
        <w:tc>
          <w:tcPr>
            <w:tcW w:w="2551" w:type="dxa"/>
            <w:vAlign w:val="center"/>
          </w:tcPr>
          <w:p>
            <w:pPr>
              <w:pStyle w:val="13"/>
            </w:pPr>
            <w:r>
              <w:t>≥10场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活动如期进行</w:t>
            </w:r>
          </w:p>
        </w:tc>
        <w:tc>
          <w:tcPr>
            <w:tcW w:w="3430" w:type="dxa"/>
            <w:vAlign w:val="center"/>
          </w:tcPr>
          <w:p>
            <w:pPr>
              <w:pStyle w:val="13"/>
            </w:pPr>
            <w:r>
              <w:t>活动如期进行</w:t>
            </w:r>
          </w:p>
        </w:tc>
        <w:tc>
          <w:tcPr>
            <w:tcW w:w="2551" w:type="dxa"/>
            <w:vAlign w:val="center"/>
          </w:tcPr>
          <w:p>
            <w:pPr>
              <w:pStyle w:val="13"/>
            </w:pPr>
            <w:r>
              <w:t>2024年10月底前完成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项目总投入资金</w:t>
            </w:r>
          </w:p>
        </w:tc>
        <w:tc>
          <w:tcPr>
            <w:tcW w:w="3430" w:type="dxa"/>
            <w:vAlign w:val="center"/>
          </w:tcPr>
          <w:p>
            <w:pPr>
              <w:pStyle w:val="13"/>
            </w:pPr>
            <w:r>
              <w:t>项目总投入资金</w:t>
            </w:r>
          </w:p>
        </w:tc>
        <w:tc>
          <w:tcPr>
            <w:tcW w:w="2551" w:type="dxa"/>
            <w:vAlign w:val="center"/>
          </w:tcPr>
          <w:p>
            <w:pPr>
              <w:pStyle w:val="13"/>
            </w:pPr>
            <w:r>
              <w:t>≤20万元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丰富市民群众文化生活</w:t>
            </w:r>
          </w:p>
        </w:tc>
        <w:tc>
          <w:tcPr>
            <w:tcW w:w="3430" w:type="dxa"/>
            <w:vAlign w:val="center"/>
          </w:tcPr>
          <w:p>
            <w:pPr>
              <w:pStyle w:val="13"/>
            </w:pPr>
            <w:r>
              <w:t>丰富市民群众文化生活</w:t>
            </w:r>
          </w:p>
        </w:tc>
        <w:tc>
          <w:tcPr>
            <w:tcW w:w="2551" w:type="dxa"/>
            <w:vAlign w:val="center"/>
          </w:tcPr>
          <w:p>
            <w:pPr>
              <w:pStyle w:val="13"/>
            </w:pPr>
            <w:r>
              <w:t>能够丰富市民群众文化生活</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打造津派相声品牌，推出更多优秀相声作品和中青年相声人才</w:t>
            </w:r>
          </w:p>
        </w:tc>
        <w:tc>
          <w:tcPr>
            <w:tcW w:w="3430" w:type="dxa"/>
            <w:vAlign w:val="center"/>
          </w:tcPr>
          <w:p>
            <w:pPr>
              <w:pStyle w:val="13"/>
            </w:pPr>
            <w:r>
              <w:t>打造津派相声品牌，推出更多优秀相声作品和中青年相声人才</w:t>
            </w:r>
          </w:p>
        </w:tc>
        <w:tc>
          <w:tcPr>
            <w:tcW w:w="2551" w:type="dxa"/>
            <w:vAlign w:val="center"/>
          </w:tcPr>
          <w:p>
            <w:pPr>
              <w:pStyle w:val="13"/>
            </w:pPr>
            <w:r>
              <w:t>能够打造津派相声品牌，推出更多优秀相声作品和中青年相声人才</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3430" w:type="dxa"/>
            <w:vAlign w:val="center"/>
          </w:tcPr>
          <w:p>
            <w:pPr>
              <w:pStyle w:val="13"/>
            </w:pPr>
            <w:r>
              <w:t>观众满意度</w:t>
            </w:r>
          </w:p>
        </w:tc>
        <w:tc>
          <w:tcPr>
            <w:tcW w:w="2551" w:type="dxa"/>
            <w:vAlign w:val="center"/>
          </w:tcPr>
          <w:p>
            <w:pPr>
              <w:pStyle w:val="13"/>
            </w:pPr>
            <w:r>
              <w:t>≥85%</w:t>
            </w:r>
          </w:p>
        </w:tc>
      </w:tr>
    </w:tbl>
    <w:p>
      <w:pPr>
        <w:sectPr>
          <w:footerReference r:id="rId3" w:type="default"/>
          <w:footerReference r:id="rId4"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_4_4_0000000005"/>
      <w:r>
        <w:rPr>
          <w:rFonts w:ascii="方正仿宋_GBK" w:hAnsi="方正仿宋_GBK" w:eastAsia="方正仿宋_GBK" w:cs="方正仿宋_GBK"/>
          <w:sz w:val="28"/>
        </w:rPr>
        <w:t>2.第十四届全国美展作品征选暨天津市美术作品展览绩效目标表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566301天津市文学艺术界联合会</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第十四届全国美展作品征选暨天津市美术作品展览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843" w:type="dxa"/>
            <w:vAlign w:val="center"/>
          </w:tcPr>
          <w:p>
            <w:pPr>
              <w:pStyle w:val="13"/>
            </w:pPr>
            <w:r>
              <w:t>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用于为中国第十四届美术展览推荐优秀作品。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1.通过展览，提升天津市美术家创作水平，为全国十四届美展遴选更多更好的优秀作品。</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作品进入复评数量</w:t>
            </w:r>
          </w:p>
        </w:tc>
        <w:tc>
          <w:tcPr>
            <w:tcW w:w="3430" w:type="dxa"/>
            <w:vAlign w:val="center"/>
          </w:tcPr>
          <w:p>
            <w:pPr>
              <w:pStyle w:val="13"/>
            </w:pPr>
            <w:r>
              <w:t>作品进入复评数量</w:t>
            </w:r>
          </w:p>
        </w:tc>
        <w:tc>
          <w:tcPr>
            <w:tcW w:w="2551" w:type="dxa"/>
            <w:vAlign w:val="center"/>
          </w:tcPr>
          <w:p>
            <w:pPr>
              <w:pStyle w:val="13"/>
            </w:pPr>
            <w:r>
              <w:t>≥800件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展出作品在复评作品中占比</w:t>
            </w:r>
          </w:p>
        </w:tc>
        <w:tc>
          <w:tcPr>
            <w:tcW w:w="3430" w:type="dxa"/>
            <w:vAlign w:val="center"/>
          </w:tcPr>
          <w:p>
            <w:pPr>
              <w:pStyle w:val="13"/>
            </w:pPr>
            <w:r>
              <w:t>展出作品在复评作品中占比</w:t>
            </w:r>
          </w:p>
        </w:tc>
        <w:tc>
          <w:tcPr>
            <w:tcW w:w="2551" w:type="dxa"/>
            <w:vAlign w:val="center"/>
          </w:tcPr>
          <w:p>
            <w:pPr>
              <w:pStyle w:val="13"/>
            </w:pPr>
            <w:r>
              <w:t>≥60%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展览如期进行</w:t>
            </w:r>
          </w:p>
        </w:tc>
        <w:tc>
          <w:tcPr>
            <w:tcW w:w="3430" w:type="dxa"/>
            <w:vAlign w:val="center"/>
          </w:tcPr>
          <w:p>
            <w:pPr>
              <w:pStyle w:val="13"/>
            </w:pPr>
            <w:r>
              <w:t>展览如期进行</w:t>
            </w:r>
          </w:p>
        </w:tc>
        <w:tc>
          <w:tcPr>
            <w:tcW w:w="2551" w:type="dxa"/>
            <w:vAlign w:val="center"/>
          </w:tcPr>
          <w:p>
            <w:pPr>
              <w:pStyle w:val="13"/>
            </w:pPr>
            <w:r>
              <w:t>2024年5月份前进行展览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项目投入资金总额</w:t>
            </w:r>
          </w:p>
        </w:tc>
        <w:tc>
          <w:tcPr>
            <w:tcW w:w="3430" w:type="dxa"/>
            <w:vAlign w:val="center"/>
          </w:tcPr>
          <w:p>
            <w:pPr>
              <w:pStyle w:val="13"/>
            </w:pPr>
            <w:r>
              <w:t>项目投入资金总额</w:t>
            </w:r>
          </w:p>
        </w:tc>
        <w:tc>
          <w:tcPr>
            <w:tcW w:w="2551" w:type="dxa"/>
            <w:vAlign w:val="center"/>
          </w:tcPr>
          <w:p>
            <w:pPr>
              <w:pStyle w:val="13"/>
            </w:pPr>
            <w:r>
              <w:t>≤80万元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提升天津市美术家创作水平，扩大天津市美术界影响力</w:t>
            </w:r>
          </w:p>
        </w:tc>
        <w:tc>
          <w:tcPr>
            <w:tcW w:w="3430" w:type="dxa"/>
            <w:vAlign w:val="center"/>
          </w:tcPr>
          <w:p>
            <w:pPr>
              <w:pStyle w:val="13"/>
            </w:pPr>
            <w:r>
              <w:t>提升天津市美术家创作水平，扩大天津市美术界影响力</w:t>
            </w:r>
          </w:p>
        </w:tc>
        <w:tc>
          <w:tcPr>
            <w:tcW w:w="2551" w:type="dxa"/>
            <w:vAlign w:val="center"/>
          </w:tcPr>
          <w:p>
            <w:pPr>
              <w:pStyle w:val="13"/>
            </w:pPr>
            <w:r>
              <w:t>能够提升天津市美术家创作水平，扩大天津市美术界影响力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参观观众满意度</w:t>
            </w:r>
          </w:p>
        </w:tc>
        <w:tc>
          <w:tcPr>
            <w:tcW w:w="3430" w:type="dxa"/>
            <w:vAlign w:val="center"/>
          </w:tcPr>
          <w:p>
            <w:pPr>
              <w:pStyle w:val="13"/>
            </w:pPr>
            <w:r>
              <w:t>参观观众满意度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_4_4_0000000006"/>
      <w:r>
        <w:rPr>
          <w:rFonts w:ascii="方正仿宋_GBK" w:hAnsi="方正仿宋_GBK" w:eastAsia="方正仿宋_GBK" w:cs="方正仿宋_GBK"/>
          <w:sz w:val="28"/>
        </w:rPr>
        <w:t>3.纪念习总书记在文艺工作座谈会上的重要讲话发表十周年主题系列活动绩效目标表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566301天津市文学艺术界联合会</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纪念习总书记在文艺工作座谈会上的重要讲话发表十周年主题系列活动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843" w:type="dxa"/>
            <w:vAlign w:val="center"/>
          </w:tcPr>
          <w:p>
            <w:pPr>
              <w:pStyle w:val="13"/>
            </w:pPr>
            <w:r>
              <w:t>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用于纪念习总书记在文艺工作座谈会讲话发表10周年活动正常举行的保障。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1.通过系列文化活动，充分展现新时代的发展变化，反应人们昂扬的精神风貌</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摄影展出作品数量</w:t>
            </w:r>
          </w:p>
        </w:tc>
        <w:tc>
          <w:tcPr>
            <w:tcW w:w="3430" w:type="dxa"/>
            <w:vAlign w:val="center"/>
          </w:tcPr>
          <w:p>
            <w:pPr>
              <w:pStyle w:val="13"/>
            </w:pPr>
            <w:r>
              <w:t>摄影展出作品数量</w:t>
            </w:r>
          </w:p>
        </w:tc>
        <w:tc>
          <w:tcPr>
            <w:tcW w:w="2551" w:type="dxa"/>
            <w:vAlign w:val="center"/>
          </w:tcPr>
          <w:p>
            <w:pPr>
              <w:pStyle w:val="13"/>
            </w:pPr>
            <w:r>
              <w:t>≥200幅</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演出场次</w:t>
            </w:r>
          </w:p>
        </w:tc>
        <w:tc>
          <w:tcPr>
            <w:tcW w:w="3430" w:type="dxa"/>
            <w:vAlign w:val="center"/>
          </w:tcPr>
          <w:p>
            <w:pPr>
              <w:pStyle w:val="13"/>
            </w:pPr>
            <w:r>
              <w:t>演出场次</w:t>
            </w:r>
          </w:p>
        </w:tc>
        <w:tc>
          <w:tcPr>
            <w:tcW w:w="2551" w:type="dxa"/>
            <w:vAlign w:val="center"/>
          </w:tcPr>
          <w:p>
            <w:pPr>
              <w:pStyle w:val="13"/>
            </w:pPr>
            <w:r>
              <w:t>≥6场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新作品展演率</w:t>
            </w:r>
          </w:p>
        </w:tc>
        <w:tc>
          <w:tcPr>
            <w:tcW w:w="3430" w:type="dxa"/>
            <w:vAlign w:val="center"/>
          </w:tcPr>
          <w:p>
            <w:pPr>
              <w:pStyle w:val="13"/>
            </w:pPr>
            <w:r>
              <w:t>新作品展演率</w:t>
            </w:r>
          </w:p>
        </w:tc>
        <w:tc>
          <w:tcPr>
            <w:tcW w:w="2551" w:type="dxa"/>
            <w:vAlign w:val="center"/>
          </w:tcPr>
          <w:p>
            <w:pPr>
              <w:pStyle w:val="13"/>
            </w:pPr>
            <w:r>
              <w:t>≥85%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参与评审专家数量</w:t>
            </w:r>
          </w:p>
        </w:tc>
        <w:tc>
          <w:tcPr>
            <w:tcW w:w="3430" w:type="dxa"/>
            <w:vAlign w:val="center"/>
          </w:tcPr>
          <w:p>
            <w:pPr>
              <w:pStyle w:val="13"/>
            </w:pPr>
            <w:r>
              <w:t>参与评审专家数量</w:t>
            </w:r>
          </w:p>
        </w:tc>
        <w:tc>
          <w:tcPr>
            <w:tcW w:w="2551" w:type="dxa"/>
            <w:vAlign w:val="center"/>
          </w:tcPr>
          <w:p>
            <w:pPr>
              <w:pStyle w:val="13"/>
            </w:pPr>
            <w:r>
              <w:t>≥20人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活动如期举行率</w:t>
            </w:r>
          </w:p>
        </w:tc>
        <w:tc>
          <w:tcPr>
            <w:tcW w:w="3430" w:type="dxa"/>
            <w:vAlign w:val="center"/>
          </w:tcPr>
          <w:p>
            <w:pPr>
              <w:pStyle w:val="13"/>
            </w:pPr>
            <w:r>
              <w:t>活动如期举行率</w:t>
            </w:r>
          </w:p>
        </w:tc>
        <w:tc>
          <w:tcPr>
            <w:tcW w:w="2551" w:type="dxa"/>
            <w:vAlign w:val="center"/>
          </w:tcPr>
          <w:p>
            <w:pPr>
              <w:pStyle w:val="13"/>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项目总投入资金</w:t>
            </w:r>
          </w:p>
        </w:tc>
        <w:tc>
          <w:tcPr>
            <w:tcW w:w="3430" w:type="dxa"/>
            <w:vAlign w:val="center"/>
          </w:tcPr>
          <w:p>
            <w:pPr>
              <w:pStyle w:val="13"/>
            </w:pPr>
            <w:r>
              <w:t>项目总投入资金</w:t>
            </w:r>
          </w:p>
        </w:tc>
        <w:tc>
          <w:tcPr>
            <w:tcW w:w="2551" w:type="dxa"/>
            <w:vAlign w:val="center"/>
          </w:tcPr>
          <w:p>
            <w:pPr>
              <w:pStyle w:val="13"/>
            </w:pPr>
            <w:r>
              <w:t>≤60万元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激励人们昂扬斗志</w:t>
            </w:r>
          </w:p>
        </w:tc>
        <w:tc>
          <w:tcPr>
            <w:tcW w:w="3430" w:type="dxa"/>
            <w:vAlign w:val="center"/>
          </w:tcPr>
          <w:p>
            <w:pPr>
              <w:pStyle w:val="13"/>
            </w:pPr>
            <w:r>
              <w:t>激励人们昂扬斗志</w:t>
            </w:r>
          </w:p>
        </w:tc>
        <w:tc>
          <w:tcPr>
            <w:tcW w:w="2551" w:type="dxa"/>
            <w:vAlign w:val="center"/>
          </w:tcPr>
          <w:p>
            <w:pPr>
              <w:pStyle w:val="13"/>
            </w:pPr>
            <w:r>
              <w:t>能够激励人们昂扬斗志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3430" w:type="dxa"/>
            <w:vAlign w:val="center"/>
          </w:tcPr>
          <w:p>
            <w:pPr>
              <w:pStyle w:val="13"/>
            </w:pPr>
            <w:r>
              <w:t>活动参与人员满意度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_4_4_0000000007"/>
      <w:r>
        <w:rPr>
          <w:rFonts w:ascii="方正仿宋_GBK" w:hAnsi="方正仿宋_GBK" w:eastAsia="方正仿宋_GBK" w:cs="方正仿宋_GBK"/>
          <w:sz w:val="28"/>
        </w:rPr>
        <w:t>4.青年尖子人才培养与成果展演绩效目标表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566301天津市文学艺术界联合会</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青年尖子人才培养与成果展演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843" w:type="dxa"/>
            <w:vAlign w:val="center"/>
          </w:tcPr>
          <w:p>
            <w:pPr>
              <w:pStyle w:val="13"/>
            </w:pPr>
            <w:r>
              <w:t>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用于青年人才培训及成果展演费用。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1.通过开展此项活动，培养青年尖子人才，提高人才队伍素质，扶持艺术家创作与课题研究，以精品力作向社会献礼。</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培训班次</w:t>
            </w:r>
          </w:p>
        </w:tc>
        <w:tc>
          <w:tcPr>
            <w:tcW w:w="3430" w:type="dxa"/>
            <w:vAlign w:val="center"/>
          </w:tcPr>
          <w:p>
            <w:pPr>
              <w:pStyle w:val="13"/>
            </w:pPr>
            <w:r>
              <w:t>培训班次</w:t>
            </w:r>
          </w:p>
        </w:tc>
        <w:tc>
          <w:tcPr>
            <w:tcW w:w="2551" w:type="dxa"/>
            <w:vAlign w:val="center"/>
          </w:tcPr>
          <w:p>
            <w:pPr>
              <w:pStyle w:val="13"/>
            </w:pPr>
            <w:r>
              <w:t>≥2个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培训出勤率</w:t>
            </w:r>
          </w:p>
        </w:tc>
        <w:tc>
          <w:tcPr>
            <w:tcW w:w="3430" w:type="dxa"/>
            <w:vAlign w:val="center"/>
          </w:tcPr>
          <w:p>
            <w:pPr>
              <w:pStyle w:val="13"/>
            </w:pPr>
            <w:r>
              <w:t>培训出勤率</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培训计划完成率</w:t>
            </w:r>
          </w:p>
        </w:tc>
        <w:tc>
          <w:tcPr>
            <w:tcW w:w="3430" w:type="dxa"/>
            <w:vAlign w:val="center"/>
          </w:tcPr>
          <w:p>
            <w:pPr>
              <w:pStyle w:val="13"/>
            </w:pPr>
            <w:r>
              <w:t>培训计划完成率</w:t>
            </w:r>
          </w:p>
        </w:tc>
        <w:tc>
          <w:tcPr>
            <w:tcW w:w="2551" w:type="dxa"/>
            <w:vAlign w:val="center"/>
          </w:tcPr>
          <w:p>
            <w:pPr>
              <w:pStyle w:val="13"/>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项目总投入资金</w:t>
            </w:r>
          </w:p>
        </w:tc>
        <w:tc>
          <w:tcPr>
            <w:tcW w:w="3430" w:type="dxa"/>
            <w:vAlign w:val="center"/>
          </w:tcPr>
          <w:p>
            <w:pPr>
              <w:pStyle w:val="13"/>
            </w:pPr>
            <w:r>
              <w:t>项目总投入资金</w:t>
            </w:r>
          </w:p>
        </w:tc>
        <w:tc>
          <w:tcPr>
            <w:tcW w:w="2551" w:type="dxa"/>
            <w:vAlign w:val="center"/>
          </w:tcPr>
          <w:p>
            <w:pPr>
              <w:pStyle w:val="13"/>
            </w:pPr>
            <w:r>
              <w:t>≤50万元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不断提升青年艺术人才专业素养</w:t>
            </w:r>
          </w:p>
        </w:tc>
        <w:tc>
          <w:tcPr>
            <w:tcW w:w="3430" w:type="dxa"/>
            <w:vAlign w:val="center"/>
          </w:tcPr>
          <w:p>
            <w:pPr>
              <w:pStyle w:val="13"/>
            </w:pPr>
            <w:r>
              <w:t>不断提升青年艺术人才专业素养</w:t>
            </w:r>
          </w:p>
        </w:tc>
        <w:tc>
          <w:tcPr>
            <w:tcW w:w="2551" w:type="dxa"/>
            <w:vAlign w:val="center"/>
          </w:tcPr>
          <w:p>
            <w:pPr>
              <w:pStyle w:val="13"/>
            </w:pPr>
            <w:r>
              <w:t>能够不断提升青年艺术人才专业素养</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有效促进天津文艺事业健康发展</w:t>
            </w:r>
          </w:p>
        </w:tc>
        <w:tc>
          <w:tcPr>
            <w:tcW w:w="3430" w:type="dxa"/>
            <w:vAlign w:val="center"/>
          </w:tcPr>
          <w:p>
            <w:pPr>
              <w:pStyle w:val="13"/>
            </w:pPr>
            <w:r>
              <w:t>有效促进天津文艺事业健康发展</w:t>
            </w:r>
          </w:p>
        </w:tc>
        <w:tc>
          <w:tcPr>
            <w:tcW w:w="2551" w:type="dxa"/>
            <w:vAlign w:val="center"/>
          </w:tcPr>
          <w:p>
            <w:pPr>
              <w:pStyle w:val="13"/>
            </w:pPr>
            <w:r>
              <w:t>能够有效促进天津文艺事业健康发展</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培训人员满意度</w:t>
            </w:r>
          </w:p>
        </w:tc>
        <w:tc>
          <w:tcPr>
            <w:tcW w:w="3430" w:type="dxa"/>
            <w:vAlign w:val="center"/>
          </w:tcPr>
          <w:p>
            <w:pPr>
              <w:pStyle w:val="13"/>
            </w:pPr>
            <w:r>
              <w:t>培训人员满意度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_4_4_0000000008"/>
      <w:r>
        <w:rPr>
          <w:rFonts w:ascii="方正仿宋_GBK" w:hAnsi="方正仿宋_GBK" w:eastAsia="方正仿宋_GBK" w:cs="方正仿宋_GBK"/>
          <w:sz w:val="28"/>
        </w:rPr>
        <w:t>5.中宣部“五个一”工程歌曲创作绩效目标表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566301天津市文学艺术界联合会</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中宣部“五个一”工程歌曲创作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843" w:type="dxa"/>
            <w:vAlign w:val="center"/>
          </w:tcPr>
          <w:p>
            <w:pPr>
              <w:pStyle w:val="13"/>
            </w:pPr>
            <w:r>
              <w:t>10.00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用于保障五个一工程歌曲创作与送评。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1.通过创作和报送，增强天津市音乐家为市增光的意识和信念，不断提高创作水平。</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初选歌曲数量</w:t>
            </w:r>
          </w:p>
        </w:tc>
        <w:tc>
          <w:tcPr>
            <w:tcW w:w="3430" w:type="dxa"/>
            <w:vAlign w:val="center"/>
          </w:tcPr>
          <w:p>
            <w:pPr>
              <w:pStyle w:val="13"/>
            </w:pPr>
            <w:r>
              <w:t>初选歌曲数量</w:t>
            </w:r>
          </w:p>
        </w:tc>
        <w:tc>
          <w:tcPr>
            <w:tcW w:w="2551" w:type="dxa"/>
            <w:vAlign w:val="center"/>
          </w:tcPr>
          <w:p>
            <w:pPr>
              <w:pStyle w:val="13"/>
            </w:pPr>
            <w:r>
              <w:t>≥10首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推送中宣部歌曲率</w:t>
            </w:r>
          </w:p>
        </w:tc>
        <w:tc>
          <w:tcPr>
            <w:tcW w:w="3430" w:type="dxa"/>
            <w:vAlign w:val="center"/>
          </w:tcPr>
          <w:p>
            <w:pPr>
              <w:pStyle w:val="13"/>
            </w:pPr>
            <w:r>
              <w:t>推送中宣部歌曲率</w:t>
            </w:r>
          </w:p>
        </w:tc>
        <w:tc>
          <w:tcPr>
            <w:tcW w:w="2551" w:type="dxa"/>
            <w:vAlign w:val="center"/>
          </w:tcPr>
          <w:p>
            <w:pPr>
              <w:pStyle w:val="13"/>
            </w:pPr>
            <w:r>
              <w:t>≥20%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如期完成歌曲推送工作</w:t>
            </w:r>
          </w:p>
        </w:tc>
        <w:tc>
          <w:tcPr>
            <w:tcW w:w="3430" w:type="dxa"/>
            <w:vAlign w:val="center"/>
          </w:tcPr>
          <w:p>
            <w:pPr>
              <w:pStyle w:val="13"/>
            </w:pPr>
            <w:r>
              <w:t>如期完成歌曲推送工作</w:t>
            </w:r>
          </w:p>
        </w:tc>
        <w:tc>
          <w:tcPr>
            <w:tcW w:w="2551" w:type="dxa"/>
            <w:vAlign w:val="center"/>
          </w:tcPr>
          <w:p>
            <w:pPr>
              <w:pStyle w:val="13"/>
            </w:pPr>
            <w:r>
              <w:t>2024年8月底前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活动总投入资金</w:t>
            </w:r>
          </w:p>
        </w:tc>
        <w:tc>
          <w:tcPr>
            <w:tcW w:w="3430" w:type="dxa"/>
            <w:vAlign w:val="center"/>
          </w:tcPr>
          <w:p>
            <w:pPr>
              <w:pStyle w:val="13"/>
            </w:pPr>
            <w:r>
              <w:t>活动总投入资金</w:t>
            </w:r>
          </w:p>
        </w:tc>
        <w:tc>
          <w:tcPr>
            <w:tcW w:w="2551" w:type="dxa"/>
            <w:vAlign w:val="center"/>
          </w:tcPr>
          <w:p>
            <w:pPr>
              <w:pStyle w:val="13"/>
            </w:pPr>
            <w:r>
              <w:t>≤10万元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增强天津市音乐家为市增光的意识和信念</w:t>
            </w:r>
          </w:p>
        </w:tc>
        <w:tc>
          <w:tcPr>
            <w:tcW w:w="3430" w:type="dxa"/>
            <w:vAlign w:val="center"/>
          </w:tcPr>
          <w:p>
            <w:pPr>
              <w:pStyle w:val="13"/>
            </w:pPr>
            <w:r>
              <w:t>增强天津市音乐家为市增光的意识和信念</w:t>
            </w:r>
          </w:p>
        </w:tc>
        <w:tc>
          <w:tcPr>
            <w:tcW w:w="2551" w:type="dxa"/>
            <w:vAlign w:val="center"/>
          </w:tcPr>
          <w:p>
            <w:pPr>
              <w:pStyle w:val="13"/>
            </w:pPr>
            <w:r>
              <w:t>能够增强天津市音乐家为市增光的意识和信念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不断提高天津市音乐家创作水平</w:t>
            </w:r>
          </w:p>
        </w:tc>
        <w:tc>
          <w:tcPr>
            <w:tcW w:w="3430" w:type="dxa"/>
            <w:vAlign w:val="center"/>
          </w:tcPr>
          <w:p>
            <w:pPr>
              <w:pStyle w:val="13"/>
            </w:pPr>
            <w:r>
              <w:t>不断提高天津市音乐家创作水平</w:t>
            </w:r>
          </w:p>
        </w:tc>
        <w:tc>
          <w:tcPr>
            <w:tcW w:w="2551" w:type="dxa"/>
            <w:vAlign w:val="center"/>
          </w:tcPr>
          <w:p>
            <w:pPr>
              <w:pStyle w:val="13"/>
            </w:pPr>
            <w:r>
              <w:t>能够不断提高天津市音乐家创作水平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各级领导满意度</w:t>
            </w:r>
          </w:p>
        </w:tc>
        <w:tc>
          <w:tcPr>
            <w:tcW w:w="3430" w:type="dxa"/>
            <w:vAlign w:val="center"/>
          </w:tcPr>
          <w:p>
            <w:pPr>
              <w:pStyle w:val="13"/>
            </w:pPr>
            <w:r>
              <w:t>各级领导满意度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汉仪旗黑-55"/>
    <w:panose1 w:val="00000000000000000000"/>
    <w:charset w:val="86"/>
    <w:family w:val="roman"/>
    <w:pitch w:val="default"/>
    <w:sig w:usb0="00000000" w:usb1="00000000" w:usb2="00000000" w:usb3="00000000" w:csb0="00000000" w:csb1="00000000"/>
  </w:font>
  <w:font w:name="方正书宋_GBK">
    <w:altName w:val="汉仪旗黑-55"/>
    <w:panose1 w:val="00000000000000000000"/>
    <w:charset w:val="86"/>
    <w:family w:val="roman"/>
    <w:pitch w:val="default"/>
    <w:sig w:usb0="00000000" w:usb1="00000000" w:usb2="00000000" w:usb3="00000000" w:csb0="00000000" w:csb1="00000000"/>
  </w:font>
  <w:font w:name="方正小标宋_GBK">
    <w:altName w:val="汉仪旗黑-55"/>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汉仪旗黑-55"/>
    <w:panose1 w:val="00000000000000000000"/>
    <w:charset w:val="86"/>
    <w:family w:val="roman"/>
    <w:pitch w:val="default"/>
    <w:sig w:usb0="00000000" w:usb1="00000000" w:usb2="00000000" w:usb3="00000000" w:csb0="00000000" w:csb1="00000000"/>
  </w:font>
  <w:font w:name="汉仪旗黑-55">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ZDkyYjEzMWY1Y2E4ZDI0NTNlMTA3N2Q4ODBmMDcifQ=="/>
  </w:docVars>
  <w:rsids>
    <w:rsidRoot w:val="005234B2"/>
    <w:rsid w:val="005234B2"/>
    <w:rsid w:val="00CC75D7"/>
    <w:rsid w:val="01B2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Words>
  <Characters>2974</Characters>
  <Lines>24</Lines>
  <Paragraphs>6</Paragraphs>
  <TotalTime>2</TotalTime>
  <ScaleCrop>false</ScaleCrop>
  <LinksUpToDate>false</LinksUpToDate>
  <CharactersWithSpaces>3489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2024-01-31T18:38:00Z</dcterms:created>
  <dc:creator>Administrator</dc:creator>
  <cp:lastModifiedBy>Administrator</cp:lastModifiedBy>
  <dcterms:modified xsi:type="dcterms:W3CDTF">2024-02-28T04:12:03Z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8E20CBC937C4478C950F143309CE6DC6_12</vt:lpwstr>
  </property>
</Properties>
</file>